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63" w:rsidRPr="00247C63" w:rsidRDefault="00247C63" w:rsidP="00247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7C6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552DC" wp14:editId="71488C9F">
                <wp:simplePos x="0" y="0"/>
                <wp:positionH relativeFrom="column">
                  <wp:posOffset>2333626</wp:posOffset>
                </wp:positionH>
                <wp:positionV relativeFrom="paragraph">
                  <wp:posOffset>95250</wp:posOffset>
                </wp:positionV>
                <wp:extent cx="2895600" cy="828040"/>
                <wp:effectExtent l="0" t="0" r="0" b="0"/>
                <wp:wrapNone/>
                <wp:docPr id="6" name="Τίτλο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82804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:rsidR="00247C63" w:rsidRPr="00C6281B" w:rsidRDefault="00247C63" w:rsidP="00247C63">
                            <w:pPr>
                              <w:pStyle w:val="Web"/>
                              <w:spacing w:before="0" w:beforeAutospacing="0" w:after="0" w:afterAutospacing="0" w:line="216" w:lineRule="auto"/>
                              <w:textAlignment w:val="baseline"/>
                              <w:rPr>
                                <w:rFonts w:ascii="Cambria" w:hAnsi="Cambria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C6281B">
                              <w:rPr>
                                <w:rFonts w:ascii="Cambria" w:eastAsiaTheme="majorEastAsia" w:hAnsi="Cambria" w:cstheme="majorBidi"/>
                                <w:color w:val="244061" w:themeColor="accent1" w:themeShade="80"/>
                                <w:spacing w:val="-12"/>
                                <w:kern w:val="24"/>
                                <w:sz w:val="22"/>
                                <w:szCs w:val="22"/>
                              </w:rPr>
                              <w:t>Τμήμα Οικονομικών Επιστημών</w:t>
                            </w:r>
                          </w:p>
                          <w:p w:rsidR="00247C63" w:rsidRPr="00C6281B" w:rsidRDefault="00247C63" w:rsidP="00247C63">
                            <w:pPr>
                              <w:pStyle w:val="Web"/>
                              <w:spacing w:before="0" w:beforeAutospacing="0" w:after="0" w:afterAutospacing="0" w:line="216" w:lineRule="auto"/>
                              <w:textAlignment w:val="baseline"/>
                              <w:rPr>
                                <w:rFonts w:ascii="Cambria" w:eastAsiaTheme="majorEastAsia" w:hAnsi="Cambria" w:cstheme="majorBidi"/>
                                <w:color w:val="244061" w:themeColor="accent1" w:themeShade="80"/>
                                <w:spacing w:val="-12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6281B">
                              <w:rPr>
                                <w:rFonts w:ascii="Cambria" w:eastAsiaTheme="majorEastAsia" w:hAnsi="Cambria" w:cstheme="majorBidi"/>
                                <w:color w:val="244061" w:themeColor="accent1" w:themeShade="80"/>
                                <w:spacing w:val="-12"/>
                                <w:kern w:val="24"/>
                                <w:sz w:val="22"/>
                                <w:szCs w:val="22"/>
                              </w:rPr>
                              <w:t>Πανεπιστήμιου Μακεδονίας</w:t>
                            </w:r>
                          </w:p>
                          <w:p w:rsidR="00247C63" w:rsidRPr="00C6281B" w:rsidRDefault="00247C63" w:rsidP="00247C63">
                            <w:pPr>
                              <w:pStyle w:val="Web"/>
                              <w:spacing w:before="0" w:beforeAutospacing="0" w:after="0" w:afterAutospacing="0" w:line="216" w:lineRule="auto"/>
                              <w:textAlignment w:val="baseline"/>
                              <w:rPr>
                                <w:rFonts w:ascii="Cambria" w:hAnsi="Cambria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247C63" w:rsidRPr="00C6281B" w:rsidRDefault="00247C63" w:rsidP="00247C63">
                            <w:pPr>
                              <w:pStyle w:val="Web"/>
                              <w:spacing w:before="0" w:beforeAutospacing="0" w:after="0" w:afterAutospacing="0" w:line="216" w:lineRule="auto"/>
                              <w:rPr>
                                <w:rFonts w:ascii="Cambria" w:eastAsiaTheme="majorEastAsia" w:hAnsi="Cambria" w:cstheme="majorBidi"/>
                                <w:color w:val="244061" w:themeColor="accent1" w:themeShade="80"/>
                                <w:spacing w:val="-12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6281B">
                              <w:rPr>
                                <w:rFonts w:ascii="Cambria" w:eastAsiaTheme="majorEastAsia" w:hAnsi="Cambria" w:cstheme="majorBidi"/>
                                <w:color w:val="244061" w:themeColor="accent1" w:themeShade="80"/>
                                <w:spacing w:val="-12"/>
                                <w:kern w:val="24"/>
                                <w:sz w:val="22"/>
                                <w:szCs w:val="22"/>
                              </w:rPr>
                              <w:t xml:space="preserve">Νομική Σχολή </w:t>
                            </w:r>
                          </w:p>
                          <w:p w:rsidR="00247C63" w:rsidRPr="00C6281B" w:rsidRDefault="00247C63" w:rsidP="00247C63">
                            <w:pPr>
                              <w:pStyle w:val="Web"/>
                              <w:spacing w:before="0" w:beforeAutospacing="0" w:after="0" w:afterAutospacing="0" w:line="216" w:lineRule="auto"/>
                              <w:rPr>
                                <w:rFonts w:ascii="Cambria" w:hAnsi="Cambria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C6281B">
                              <w:rPr>
                                <w:rFonts w:ascii="Cambria" w:eastAsiaTheme="majorEastAsia" w:hAnsi="Cambria" w:cstheme="majorBidi"/>
                                <w:color w:val="244061" w:themeColor="accent1" w:themeShade="80"/>
                                <w:spacing w:val="-12"/>
                                <w:kern w:val="24"/>
                                <w:sz w:val="22"/>
                                <w:szCs w:val="22"/>
                              </w:rPr>
                              <w:t xml:space="preserve">Αριστοτελείου Πανεπιστημίου Θεσσαλονίκης 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552DC" id="_x0000_t202" coordsize="21600,21600" o:spt="202" path="m,l,21600r21600,l21600,xe">
                <v:stroke joinstyle="miter"/>
                <v:path gradientshapeok="t" o:connecttype="rect"/>
              </v:shapetype>
              <v:shape id="Τίτλος 1" o:spid="_x0000_s1026" type="#_x0000_t202" style="position:absolute;margin-left:183.75pt;margin-top:7.5pt;width:228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" filled="f" stroked="f">
                <v:path arrowok="t"/>
                <v:textbox>
                  <w:txbxContent>
                    <w:p w:rsidR="00247C63" w:rsidRPr="00C6281B" w:rsidRDefault="00247C63" w:rsidP="00247C63">
                      <w:pPr>
                        <w:pStyle w:val="Web"/>
                        <w:spacing w:before="0" w:beforeAutospacing="0" w:after="0" w:afterAutospacing="0" w:line="216" w:lineRule="auto"/>
                        <w:textAlignment w:val="baseline"/>
                        <w:rPr>
                          <w:rFonts w:ascii="Cambria" w:hAnsi="Cambria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C6281B">
                        <w:rPr>
                          <w:rFonts w:ascii="Cambria" w:eastAsiaTheme="majorEastAsia" w:hAnsi="Cambria" w:cstheme="majorBidi"/>
                          <w:color w:val="244061" w:themeColor="accent1" w:themeShade="80"/>
                          <w:spacing w:val="-12"/>
                          <w:kern w:val="24"/>
                          <w:sz w:val="22"/>
                          <w:szCs w:val="22"/>
                        </w:rPr>
                        <w:t>Τμήμα Οικονομικών Επιστημών</w:t>
                      </w:r>
                    </w:p>
                    <w:p w:rsidR="00247C63" w:rsidRPr="00C6281B" w:rsidRDefault="00247C63" w:rsidP="00247C63">
                      <w:pPr>
                        <w:pStyle w:val="Web"/>
                        <w:spacing w:before="0" w:beforeAutospacing="0" w:after="0" w:afterAutospacing="0" w:line="216" w:lineRule="auto"/>
                        <w:textAlignment w:val="baseline"/>
                        <w:rPr>
                          <w:rFonts w:ascii="Cambria" w:eastAsiaTheme="majorEastAsia" w:hAnsi="Cambria" w:cstheme="majorBidi"/>
                          <w:color w:val="244061" w:themeColor="accent1" w:themeShade="80"/>
                          <w:spacing w:val="-12"/>
                          <w:kern w:val="24"/>
                          <w:sz w:val="22"/>
                          <w:szCs w:val="22"/>
                        </w:rPr>
                      </w:pPr>
                      <w:r w:rsidRPr="00C6281B">
                        <w:rPr>
                          <w:rFonts w:ascii="Cambria" w:eastAsiaTheme="majorEastAsia" w:hAnsi="Cambria" w:cstheme="majorBidi"/>
                          <w:color w:val="244061" w:themeColor="accent1" w:themeShade="80"/>
                          <w:spacing w:val="-12"/>
                          <w:kern w:val="24"/>
                          <w:sz w:val="22"/>
                          <w:szCs w:val="22"/>
                        </w:rPr>
                        <w:t>Πανεπιστήμιου Μακεδονίας</w:t>
                      </w:r>
                    </w:p>
                    <w:p w:rsidR="00247C63" w:rsidRPr="00C6281B" w:rsidRDefault="00247C63" w:rsidP="00247C63">
                      <w:pPr>
                        <w:pStyle w:val="Web"/>
                        <w:spacing w:before="0" w:beforeAutospacing="0" w:after="0" w:afterAutospacing="0" w:line="216" w:lineRule="auto"/>
                        <w:textAlignment w:val="baseline"/>
                        <w:rPr>
                          <w:rFonts w:ascii="Cambria" w:hAnsi="Cambria"/>
                          <w:color w:val="244061" w:themeColor="accent1" w:themeShade="80"/>
                          <w:sz w:val="22"/>
                          <w:szCs w:val="22"/>
                        </w:rPr>
                      </w:pPr>
                    </w:p>
                    <w:p w:rsidR="00247C63" w:rsidRPr="00C6281B" w:rsidRDefault="00247C63" w:rsidP="00247C63">
                      <w:pPr>
                        <w:pStyle w:val="Web"/>
                        <w:spacing w:before="0" w:beforeAutospacing="0" w:after="0" w:afterAutospacing="0" w:line="216" w:lineRule="auto"/>
                        <w:rPr>
                          <w:rFonts w:ascii="Cambria" w:eastAsiaTheme="majorEastAsia" w:hAnsi="Cambria" w:cstheme="majorBidi"/>
                          <w:color w:val="244061" w:themeColor="accent1" w:themeShade="80"/>
                          <w:spacing w:val="-12"/>
                          <w:kern w:val="24"/>
                          <w:sz w:val="22"/>
                          <w:szCs w:val="22"/>
                        </w:rPr>
                      </w:pPr>
                      <w:r w:rsidRPr="00C6281B">
                        <w:rPr>
                          <w:rFonts w:ascii="Cambria" w:eastAsiaTheme="majorEastAsia" w:hAnsi="Cambria" w:cstheme="majorBidi"/>
                          <w:color w:val="244061" w:themeColor="accent1" w:themeShade="80"/>
                          <w:spacing w:val="-12"/>
                          <w:kern w:val="24"/>
                          <w:sz w:val="22"/>
                          <w:szCs w:val="22"/>
                        </w:rPr>
                        <w:t xml:space="preserve">Νομική Σχολή </w:t>
                      </w:r>
                    </w:p>
                    <w:p w:rsidR="00247C63" w:rsidRPr="00C6281B" w:rsidRDefault="00247C63" w:rsidP="00247C63">
                      <w:pPr>
                        <w:pStyle w:val="Web"/>
                        <w:spacing w:before="0" w:beforeAutospacing="0" w:after="0" w:afterAutospacing="0" w:line="216" w:lineRule="auto"/>
                        <w:rPr>
                          <w:rFonts w:ascii="Cambria" w:hAnsi="Cambria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C6281B">
                        <w:rPr>
                          <w:rFonts w:ascii="Cambria" w:eastAsiaTheme="majorEastAsia" w:hAnsi="Cambria" w:cstheme="majorBidi"/>
                          <w:color w:val="244061" w:themeColor="accent1" w:themeShade="80"/>
                          <w:spacing w:val="-12"/>
                          <w:kern w:val="24"/>
                          <w:sz w:val="22"/>
                          <w:szCs w:val="22"/>
                        </w:rPr>
                        <w:t xml:space="preserve">Αριστοτελείου Πανεπιστημίου Θεσσαλονίκης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65408" behindDoc="1" locked="0" layoutInCell="1" allowOverlap="1" wp14:anchorId="66B3BEE4" wp14:editId="18AF16E2">
            <wp:simplePos x="0" y="0"/>
            <wp:positionH relativeFrom="column">
              <wp:posOffset>4924425</wp:posOffset>
            </wp:positionH>
            <wp:positionV relativeFrom="paragraph">
              <wp:posOffset>76200</wp:posOffset>
            </wp:positionV>
            <wp:extent cx="485775" cy="485775"/>
            <wp:effectExtent l="95250" t="76200" r="85725" b="104775"/>
            <wp:wrapTight wrapText="bothSides">
              <wp:wrapPolygon edited="0">
                <wp:start x="7624" y="-3388"/>
                <wp:lineTo x="-4235" y="-1694"/>
                <wp:lineTo x="-4235" y="16094"/>
                <wp:lineTo x="5082" y="25412"/>
                <wp:lineTo x="13553" y="25412"/>
                <wp:lineTo x="14400" y="23718"/>
                <wp:lineTo x="24565" y="12706"/>
                <wp:lineTo x="24565" y="9318"/>
                <wp:lineTo x="16094" y="-1694"/>
                <wp:lineTo x="13553" y="-3388"/>
                <wp:lineTo x="7624" y="-3388"/>
              </wp:wrapPolygon>
            </wp:wrapTight>
            <wp:docPr id="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77800" dist="38100" dir="2700000" sx="99000" sy="99000" algn="tl" rotWithShape="0">
                        <a:schemeClr val="accent3">
                          <a:lumMod val="75000"/>
                          <a:alpha val="97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247C6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7456" behindDoc="1" locked="0" layoutInCell="1" allowOverlap="1" wp14:anchorId="462E8B90" wp14:editId="02ACEE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62125" cy="923290"/>
            <wp:effectExtent l="0" t="0" r="9525" b="0"/>
            <wp:wrapTight wrapText="bothSides">
              <wp:wrapPolygon edited="0">
                <wp:start x="0" y="0"/>
                <wp:lineTo x="0" y="20946"/>
                <wp:lineTo x="21483" y="20946"/>
                <wp:lineTo x="21483" y="0"/>
                <wp:lineTo x="0" y="0"/>
              </wp:wrapPolygon>
            </wp:wrapTight>
            <wp:docPr id="5" name="Εικόνα 5" descr="C:\Users\apapanastasiou\AppData\Local\Packages\Microsoft.Windows.Photos_8wekyb3d8bbwe\TempState\ShareServiceTempFolder\logo le (2)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panastasiou\AppData\Local\Packages\Microsoft.Windows.Photos_8wekyb3d8bbwe\TempState\ShareServiceTempFolder\logo le (2) fina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C63" w:rsidRDefault="00247C63" w:rsidP="00247C63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1" locked="0" layoutInCell="1" allowOverlap="1" wp14:anchorId="592A4750" wp14:editId="45FEB6F5">
            <wp:simplePos x="0" y="0"/>
            <wp:positionH relativeFrom="column">
              <wp:posOffset>4975225</wp:posOffset>
            </wp:positionH>
            <wp:positionV relativeFrom="paragraph">
              <wp:posOffset>218440</wp:posOffset>
            </wp:positionV>
            <wp:extent cx="347345" cy="352425"/>
            <wp:effectExtent l="190500" t="190500" r="224155" b="276225"/>
            <wp:wrapTight wrapText="bothSides">
              <wp:wrapPolygon edited="0">
                <wp:start x="2369" y="-11676"/>
                <wp:lineTo x="-11846" y="-9341"/>
                <wp:lineTo x="-11846" y="19849"/>
                <wp:lineTo x="-8293" y="28022"/>
                <wp:lineTo x="2369" y="35027"/>
                <wp:lineTo x="3554" y="37362"/>
                <wp:lineTo x="17770" y="37362"/>
                <wp:lineTo x="18954" y="35027"/>
                <wp:lineTo x="29616" y="28022"/>
                <wp:lineTo x="34355" y="10508"/>
                <wp:lineTo x="34355" y="9341"/>
                <wp:lineTo x="20139" y="-8173"/>
                <wp:lineTo x="18954" y="-11676"/>
                <wp:lineTo x="2369" y="-11676"/>
              </wp:wrapPolygon>
            </wp:wrapTight>
            <wp:docPr id="8" name="Picture 12" descr="C:\Eftichis_6_9_15\Administration\Metaptyxiaka Oikovomikou PaMak\MSC in Law &amp; Economics\ΑΠΘ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 descr="C:\Eftichis_6_9_15\Administration\Metaptyxiaka Oikovomikou PaMak\MSC in Law &amp; Economics\ΑΠΘ-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52425"/>
                    </a:xfrm>
                    <a:prstGeom prst="rect">
                      <a:avLst/>
                    </a:prstGeom>
                    <a:noFill/>
                    <a:effectLst>
                      <a:outerShdw blurRad="266700" dist="38100" dir="2700000" algn="tl" rotWithShape="0">
                        <a:schemeClr val="accent3">
                          <a:lumMod val="50000"/>
                          <a:alpha val="9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C63" w:rsidRDefault="00247C63" w:rsidP="00247C63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247C63" w:rsidRDefault="00247C63" w:rsidP="00247C63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47C63">
        <w:rPr>
          <w:noProof/>
          <w:lang w:eastAsia="el-GR"/>
        </w:rPr>
        <w:t xml:space="preserve"> </w:t>
      </w:r>
    </w:p>
    <w:p w:rsidR="00780735" w:rsidRPr="00270C00" w:rsidRDefault="00247E59" w:rsidP="00780735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jc w:val="center"/>
        <w:rPr>
          <w:rFonts w:ascii="Cambria" w:hAnsi="Cambria" w:cs="Times New Roman"/>
          <w:b/>
          <w:color w:val="FFFFFF" w:themeColor="background1"/>
          <w:sz w:val="36"/>
          <w:szCs w:val="36"/>
        </w:rPr>
      </w:pPr>
      <w:r w:rsidRPr="00270C00">
        <w:rPr>
          <w:rFonts w:ascii="Cambria" w:hAnsi="Cambria" w:cs="Times New Roman"/>
          <w:color w:val="FFFFFF" w:themeColor="background1"/>
          <w:sz w:val="36"/>
          <w:szCs w:val="36"/>
        </w:rPr>
        <w:t>Διιδρυματικό Πρόγραμμα Μεταπτυχιακών Σπουδών</w:t>
      </w:r>
      <w:r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 xml:space="preserve"> (Δ</w:t>
      </w:r>
      <w:r w:rsidR="004237CE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.</w:t>
      </w:r>
      <w:r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Π</w:t>
      </w:r>
      <w:r w:rsidR="004237CE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.</w:t>
      </w:r>
      <w:r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Μ</w:t>
      </w:r>
      <w:r w:rsidR="004237CE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.</w:t>
      </w:r>
      <w:r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Σ</w:t>
      </w:r>
      <w:r w:rsidR="004237CE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.</w:t>
      </w:r>
      <w:r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)</w:t>
      </w:r>
      <w:r w:rsidR="004237CE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«</w:t>
      </w:r>
      <w:r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Δίκαιο και Οικονομικά</w:t>
      </w:r>
      <w:r w:rsidR="004237CE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>»</w:t>
      </w:r>
      <w:r w:rsidR="00247C63" w:rsidRPr="00270C00">
        <w:rPr>
          <w:rFonts w:ascii="Cambria" w:hAnsi="Cambria" w:cs="Times New Roman"/>
          <w:b/>
          <w:color w:val="FFFFFF" w:themeColor="background1"/>
          <w:sz w:val="36"/>
          <w:szCs w:val="36"/>
        </w:rPr>
        <w:t xml:space="preserve">                                                </w:t>
      </w:r>
      <w:r w:rsidR="009A4332">
        <w:rPr>
          <w:rFonts w:ascii="Cambria" w:hAnsi="Cambria" w:cs="Times New Roman"/>
          <w:color w:val="FFFFFF" w:themeColor="background1"/>
          <w:sz w:val="36"/>
          <w:szCs w:val="36"/>
        </w:rPr>
        <w:t>M</w:t>
      </w:r>
      <w:proofErr w:type="spellStart"/>
      <w:r w:rsidR="009A4332">
        <w:rPr>
          <w:rFonts w:ascii="Cambria" w:hAnsi="Cambria" w:cs="Times New Roman"/>
          <w:color w:val="FFFFFF" w:themeColor="background1"/>
          <w:sz w:val="36"/>
          <w:szCs w:val="36"/>
          <w:lang w:val="en-US"/>
        </w:rPr>
        <w:t>Sc</w:t>
      </w:r>
      <w:proofErr w:type="spellEnd"/>
      <w:r w:rsidR="004237CE" w:rsidRPr="00270C00">
        <w:rPr>
          <w:rFonts w:ascii="Cambria" w:hAnsi="Cambria" w:cs="Times New Roman"/>
          <w:color w:val="FFFFFF" w:themeColor="background1"/>
          <w:sz w:val="36"/>
          <w:szCs w:val="36"/>
        </w:rPr>
        <w:t xml:space="preserve"> in Law and </w:t>
      </w:r>
      <w:proofErr w:type="spellStart"/>
      <w:r w:rsidR="004237CE" w:rsidRPr="00270C00">
        <w:rPr>
          <w:rFonts w:ascii="Cambria" w:hAnsi="Cambria" w:cs="Times New Roman"/>
          <w:color w:val="FFFFFF" w:themeColor="background1"/>
          <w:sz w:val="36"/>
          <w:szCs w:val="36"/>
        </w:rPr>
        <w:t>Economics</w:t>
      </w:r>
      <w:proofErr w:type="spellEnd"/>
    </w:p>
    <w:p w:rsidR="00E66252" w:rsidRDefault="004237CE" w:rsidP="00780735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47C63">
        <w:rPr>
          <w:rFonts w:ascii="Cambria" w:hAnsi="Cambria" w:cs="Times New Roman"/>
          <w:sz w:val="24"/>
          <w:szCs w:val="24"/>
        </w:rPr>
        <w:t xml:space="preserve">Το </w:t>
      </w:r>
      <w:r w:rsidR="00262D4E">
        <w:rPr>
          <w:rFonts w:ascii="Cambria" w:hAnsi="Cambria" w:cs="Times New Roman"/>
          <w:sz w:val="24"/>
          <w:szCs w:val="24"/>
        </w:rPr>
        <w:t xml:space="preserve">Διιδρυματικό Πρόγραμμα Μεταπτυχιακών Σπουδών «Δίκαιο και Οικονομικά» </w:t>
      </w:r>
      <w:r w:rsidR="00247E59" w:rsidRPr="00247C63">
        <w:rPr>
          <w:rFonts w:ascii="Cambria" w:hAnsi="Cambria" w:cs="Times New Roman"/>
          <w:sz w:val="24"/>
          <w:szCs w:val="24"/>
        </w:rPr>
        <w:t xml:space="preserve">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οργανώνεται και λειτουργεί</w:t>
      </w:r>
      <w:r w:rsidR="00247E59"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B65BF2">
        <w:rPr>
          <w:rFonts w:ascii="Cambria" w:hAnsi="Cambria" w:cs="Times New Roman"/>
          <w:sz w:val="24"/>
          <w:szCs w:val="24"/>
          <w:shd w:val="clear" w:color="auto" w:fill="FFFFFF"/>
        </w:rPr>
        <w:t xml:space="preserve">από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το </w:t>
      </w:r>
      <w:r w:rsidRPr="00247C63">
        <w:rPr>
          <w:rFonts w:ascii="Cambria" w:hAnsi="Cambria" w:cs="Times New Roman"/>
          <w:sz w:val="24"/>
          <w:szCs w:val="24"/>
        </w:rPr>
        <w:t>Τμήμα Οικονομικών Επιστημών του Πανεπιστημίου Μακεδονίας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 και </w:t>
      </w:r>
      <w:r w:rsidR="00B65BF2">
        <w:rPr>
          <w:rFonts w:ascii="Cambria" w:hAnsi="Cambria" w:cs="Times New Roman"/>
          <w:sz w:val="24"/>
          <w:szCs w:val="24"/>
          <w:shd w:val="clear" w:color="auto" w:fill="FFFFFF"/>
        </w:rPr>
        <w:t>τ</w:t>
      </w:r>
      <w:r w:rsidR="00247E59" w:rsidRPr="00247C63">
        <w:rPr>
          <w:rFonts w:ascii="Cambria" w:hAnsi="Cambria" w:cs="Times New Roman"/>
          <w:sz w:val="24"/>
          <w:szCs w:val="24"/>
        </w:rPr>
        <w:t>η Νομική Σχολή του Αριστοτελείου Π</w:t>
      </w:r>
      <w:r w:rsidRPr="00247C63">
        <w:rPr>
          <w:rFonts w:ascii="Cambria" w:hAnsi="Cambria" w:cs="Times New Roman"/>
          <w:sz w:val="24"/>
          <w:szCs w:val="24"/>
        </w:rPr>
        <w:t>ανεπιστημίου Θεσσαλονίκης (ΑΠΘ).</w:t>
      </w:r>
      <w:r w:rsidR="00B05989">
        <w:rPr>
          <w:rFonts w:ascii="Cambria" w:hAnsi="Cambria" w:cs="Times New Roman"/>
          <w:sz w:val="24"/>
          <w:szCs w:val="24"/>
        </w:rPr>
        <w:t xml:space="preserve"> </w:t>
      </w:r>
      <w:r w:rsidR="00E66252" w:rsidRPr="00247C63">
        <w:rPr>
          <w:rFonts w:ascii="Cambria" w:hAnsi="Cambria" w:cs="Times New Roman"/>
          <w:sz w:val="24"/>
          <w:szCs w:val="24"/>
        </w:rPr>
        <w:t>Το «Δίκαιο και Οικονομικά» εστιάζει σ</w:t>
      </w:r>
      <w:r w:rsidR="00B05989">
        <w:rPr>
          <w:rFonts w:ascii="Cambria" w:hAnsi="Cambria" w:cs="Times New Roman"/>
          <w:sz w:val="24"/>
          <w:szCs w:val="24"/>
        </w:rPr>
        <w:t>ε</w:t>
      </w:r>
      <w:r w:rsidR="00E66252" w:rsidRPr="00247C63">
        <w:rPr>
          <w:rFonts w:ascii="Cambria" w:hAnsi="Cambria" w:cs="Times New Roman"/>
          <w:sz w:val="24"/>
          <w:szCs w:val="24"/>
        </w:rPr>
        <w:t xml:space="preserve"> διεπιστημονική εκπαίδευση, παρέχοντας υψηλού επιπέδου μεταπτυχιακές σπουδές</w:t>
      </w:r>
      <w:r w:rsidR="00780735">
        <w:rPr>
          <w:rFonts w:ascii="Cambria" w:hAnsi="Cambria" w:cs="Times New Roman"/>
          <w:sz w:val="24"/>
          <w:szCs w:val="24"/>
        </w:rPr>
        <w:t>,</w:t>
      </w:r>
      <w:r w:rsidR="00E66252" w:rsidRPr="00247C63">
        <w:rPr>
          <w:rFonts w:ascii="Cambria" w:hAnsi="Cambria" w:cs="Times New Roman"/>
          <w:sz w:val="24"/>
          <w:szCs w:val="24"/>
        </w:rPr>
        <w:t xml:space="preserve"> προετοιμάζοντας τους φοιτητές για την περαιτέρω ακαδημαϊκή και επαγγελματική τους σταδιοδρομία.</w:t>
      </w:r>
      <w:r w:rsidR="00780735">
        <w:rPr>
          <w:rFonts w:ascii="Cambria" w:hAnsi="Cambria" w:cs="Times New Roman"/>
          <w:sz w:val="24"/>
          <w:szCs w:val="24"/>
        </w:rPr>
        <w:t xml:space="preserve"> </w:t>
      </w:r>
    </w:p>
    <w:p w:rsidR="00270C00" w:rsidRDefault="00270C00" w:rsidP="00780735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270C00" w:rsidRPr="00247C63" w:rsidRDefault="006F3832" w:rsidP="00270C00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>
        <w:rPr>
          <w:rFonts w:ascii="Cambria" w:hAnsi="Cambria" w:cs="Times New Roman"/>
          <w:b/>
          <w:color w:val="FFFFFF" w:themeColor="background1"/>
          <w:sz w:val="28"/>
          <w:szCs w:val="28"/>
        </w:rPr>
        <w:t>Πιστοποίηση από την Εθνική Αρχή Ανώτατης Εκπαίδευσης (ΕΘΑΑΕ)</w:t>
      </w:r>
    </w:p>
    <w:p w:rsidR="00270C00" w:rsidRDefault="00270C00" w:rsidP="00270C00">
      <w:pPr>
        <w:jc w:val="both"/>
        <w:rPr>
          <w:rFonts w:ascii="Cambria" w:hAnsi="Cambria" w:cs="Times New Roman"/>
          <w:i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 wp14:anchorId="3E79B177" wp14:editId="5D99E6DD">
            <wp:simplePos x="0" y="0"/>
            <wp:positionH relativeFrom="column">
              <wp:posOffset>3252671</wp:posOffset>
            </wp:positionH>
            <wp:positionV relativeFrom="paragraph">
              <wp:posOffset>27305</wp:posOffset>
            </wp:positionV>
            <wp:extent cx="2066925" cy="3008923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00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C00" w:rsidRPr="00270C00" w:rsidRDefault="00270C00" w:rsidP="00270C00">
      <w:pPr>
        <w:jc w:val="both"/>
        <w:rPr>
          <w:rFonts w:ascii="Cambria" w:hAnsi="Cambria"/>
          <w:i/>
        </w:rPr>
      </w:pPr>
      <w:r w:rsidRPr="00270C00">
        <w:rPr>
          <w:rFonts w:ascii="Cambria" w:hAnsi="Cambria" w:cs="Times New Roman"/>
          <w:i/>
          <w:sz w:val="24"/>
          <w:szCs w:val="24"/>
        </w:rPr>
        <w:t xml:space="preserve">«Το Πρόγραμμα Μεταπτυχιακών Σπουδών Δίκαιο και Οικονομικά του Τμήματος Οικονομικών Επιστημών του Πανεπιστημίου Μακεδονίας </w:t>
      </w:r>
      <w:r w:rsidRPr="00270C00">
        <w:rPr>
          <w:rFonts w:ascii="Cambria" w:hAnsi="Cambria" w:cs="Times New Roman"/>
          <w:b/>
          <w:i/>
          <w:sz w:val="24"/>
          <w:szCs w:val="24"/>
        </w:rPr>
        <w:t xml:space="preserve">συμμορφώνεται πλήρως </w:t>
      </w:r>
      <w:r w:rsidRPr="005735FA">
        <w:rPr>
          <w:rFonts w:ascii="Cambria" w:hAnsi="Cambria" w:cs="Times New Roman"/>
          <w:i/>
          <w:sz w:val="24"/>
          <w:szCs w:val="24"/>
        </w:rPr>
        <w:t>με τις</w:t>
      </w:r>
      <w:r w:rsidRPr="00270C00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Pr="005735FA">
        <w:rPr>
          <w:rFonts w:ascii="Cambria" w:hAnsi="Cambria" w:cs="Times New Roman"/>
          <w:i/>
          <w:sz w:val="24"/>
          <w:szCs w:val="24"/>
        </w:rPr>
        <w:t>αρχές του</w:t>
      </w:r>
      <w:r w:rsidRPr="00270C00">
        <w:rPr>
          <w:rFonts w:ascii="Cambria" w:hAnsi="Cambria" w:cs="Times New Roman"/>
          <w:b/>
          <w:i/>
          <w:sz w:val="24"/>
          <w:szCs w:val="24"/>
        </w:rPr>
        <w:t xml:space="preserve"> Προτύπου Ποιότητας για την Πιστοποίηση Προγραμμάτων Μεταπτυχιακών Σπουδών της ΕΘΑΑΕ </w:t>
      </w:r>
      <w:r w:rsidRPr="00270C00">
        <w:rPr>
          <w:rFonts w:ascii="Cambria" w:hAnsi="Cambria" w:cs="Times New Roman"/>
          <w:i/>
          <w:sz w:val="24"/>
          <w:szCs w:val="24"/>
        </w:rPr>
        <w:t xml:space="preserve">και τις </w:t>
      </w:r>
      <w:r w:rsidRPr="005735FA">
        <w:rPr>
          <w:rFonts w:ascii="Cambria" w:hAnsi="Cambria" w:cs="Times New Roman"/>
          <w:i/>
          <w:sz w:val="24"/>
          <w:szCs w:val="24"/>
        </w:rPr>
        <w:t>Αρχές και Κατευθυντήριες Οδηγίες για τη</w:t>
      </w:r>
      <w:r w:rsidRPr="00270C00">
        <w:rPr>
          <w:rFonts w:ascii="Cambria" w:hAnsi="Cambria" w:cs="Times New Roman"/>
          <w:b/>
          <w:i/>
          <w:sz w:val="24"/>
          <w:szCs w:val="24"/>
        </w:rPr>
        <w:t xml:space="preserve"> Διασφάλιση Ποιότητας στον Ευρωπαϊκό Χώρο Ανώτατης Εκπαίδευσης (ESG)</w:t>
      </w:r>
      <w:r w:rsidRPr="00270C00">
        <w:rPr>
          <w:rFonts w:ascii="Cambria" w:hAnsi="Cambria" w:cs="Times New Roman"/>
          <w:i/>
          <w:sz w:val="24"/>
          <w:szCs w:val="24"/>
        </w:rPr>
        <w:t xml:space="preserve"> για το επίπεδο σπουδών 7 του Εθνικού και Ευρωπαϊκού Πλαισίου Προσόντων». </w:t>
      </w:r>
    </w:p>
    <w:p w:rsidR="00270C00" w:rsidRDefault="00270C00" w:rsidP="00780735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E23608" w:rsidRDefault="00E23608" w:rsidP="00780735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CB7BC7" w:rsidRDefault="00CB7BC7" w:rsidP="00780735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2772A7" w:rsidRPr="00247C63" w:rsidRDefault="003C534C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lastRenderedPageBreak/>
        <w:t>Γιατί να επιλέξω το Δ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.</w:t>
      </w: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Π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.</w:t>
      </w: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Μ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.</w:t>
      </w: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Σ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.</w:t>
      </w: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στο</w:t>
      </w:r>
      <w:r w:rsidR="002772A7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</w:t>
      </w: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Δίκαιο και Οικονομικά</w:t>
      </w:r>
    </w:p>
    <w:p w:rsidR="008A200A" w:rsidRPr="00247C63" w:rsidRDefault="008A200A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Το Δίκαιο και τα Οικονομικά αποτελούν αλ</w:t>
      </w:r>
      <w:r w:rsidR="004237CE"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ληλοσυμπληρούμενα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επιστημονικά αντικείμενα.</w:t>
      </w:r>
    </w:p>
    <w:p w:rsidR="008A200A" w:rsidRPr="00247C63" w:rsidRDefault="008A200A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Η διεπιστημονική προσέγγιση </w:t>
      </w:r>
      <w:r w:rsidR="004237CE"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στα πεδία αυτά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παρέχει μια διευρυμένη αντίληψη της λειτουργίας των αγορών και του νομικού πλαισίου, μέσα στο οποίο αυτές αναπτύσσονται.</w:t>
      </w:r>
    </w:p>
    <w:p w:rsidR="008A200A" w:rsidRPr="00247C63" w:rsidRDefault="008A200A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Οι νομικές γνώσεις που παρέχει το πρόγραμμα επιτρέπουν τη διερεύνηση θεσμικών ζητημάτων, ενώ οι οικονομικές γνώσεις την ανάπτυξη ποσοτικών τεχνικών ανάλυσης. </w:t>
      </w:r>
    </w:p>
    <w:p w:rsidR="003B3E2A" w:rsidRPr="00247C63" w:rsidRDefault="00E66252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Κάθε μάθημα συνίσταται από</w:t>
      </w:r>
      <w:r w:rsidR="003B3E2A"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 συνδιδασκαλία νομικού και οικονομολόγου.</w:t>
      </w:r>
    </w:p>
    <w:p w:rsidR="008A200A" w:rsidRPr="00247C63" w:rsidRDefault="008A200A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Οι νομικές γνώσεις παρέχουν επιπλέον ώθηση στην επαγγελματική σταδιοδρομία ενός στελέχους επιχειρήσεων, ενώ οι οικονομικές γνώσεις επιπλέον ώθηση στην επιτυχή άσκηση των νομικών επαγγελμάτων.</w:t>
      </w:r>
    </w:p>
    <w:p w:rsidR="008A200A" w:rsidRDefault="008A200A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Με τα παραπάνω πλεονεκτήματα ανοίγονται στους αποφοίτους του μεταπτυχιακού προγράμματος πολλές και νέες επαγγελματικές προοπτικές σ</w:t>
      </w:r>
      <w:r w:rsidR="00E66252" w:rsidRPr="00247C63">
        <w:rPr>
          <w:rFonts w:ascii="Cambria" w:hAnsi="Cambria" w:cs="Times New Roman"/>
          <w:sz w:val="24"/>
          <w:szCs w:val="24"/>
          <w:shd w:val="clear" w:color="auto" w:fill="FFFFFF"/>
        </w:rPr>
        <w:t>ε επιχειρήσεις, τ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ράπεζες, δημόσιους και διεθνείς οργανισμούς. </w:t>
      </w:r>
    </w:p>
    <w:p w:rsidR="00780735" w:rsidRDefault="00780735" w:rsidP="00780735">
      <w:pPr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</w:p>
    <w:p w:rsidR="00B75866" w:rsidRPr="00B75866" w:rsidRDefault="00B75866" w:rsidP="00B75866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Τι αλλάζει με το νέο Κανονισμό </w:t>
      </w:r>
    </w:p>
    <w:p w:rsidR="00692A16" w:rsidRDefault="00692A16" w:rsidP="00B75866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B75866" w:rsidRPr="00B75866" w:rsidRDefault="00B75866" w:rsidP="00B75866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8409D">
        <w:rPr>
          <w:rFonts w:ascii="Cambria" w:hAnsi="Cambria" w:cs="Times New Roman"/>
          <w:b/>
          <w:sz w:val="24"/>
          <w:szCs w:val="24"/>
        </w:rPr>
        <w:t>Βασικές αλλαγές</w:t>
      </w:r>
      <w:r w:rsidRPr="00B75866">
        <w:rPr>
          <w:rFonts w:ascii="Cambria" w:hAnsi="Cambria" w:cs="Times New Roman"/>
          <w:sz w:val="24"/>
          <w:szCs w:val="24"/>
        </w:rPr>
        <w:t xml:space="preserve"> του νέου κανονισμού είναι</w:t>
      </w:r>
      <w:r w:rsidR="00270C00">
        <w:rPr>
          <w:rFonts w:ascii="Cambria" w:hAnsi="Cambria" w:cs="Times New Roman"/>
          <w:sz w:val="24"/>
          <w:szCs w:val="24"/>
        </w:rPr>
        <w:t xml:space="preserve"> οι εξής</w:t>
      </w:r>
      <w:r w:rsidRPr="00B75866">
        <w:rPr>
          <w:rFonts w:ascii="Cambria" w:hAnsi="Cambria" w:cs="Times New Roman"/>
          <w:sz w:val="24"/>
          <w:szCs w:val="24"/>
        </w:rPr>
        <w:t xml:space="preserve">: </w:t>
      </w:r>
    </w:p>
    <w:p w:rsidR="00B75866" w:rsidRPr="00B75866" w:rsidRDefault="00B75866" w:rsidP="00B75866">
      <w:pPr>
        <w:pStyle w:val="a3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B75866">
        <w:rPr>
          <w:rFonts w:ascii="Cambria" w:hAnsi="Cambria" w:cs="Times New Roman"/>
          <w:sz w:val="24"/>
          <w:szCs w:val="24"/>
        </w:rPr>
        <w:t xml:space="preserve">η </w:t>
      </w:r>
      <w:r w:rsidRPr="00B75866">
        <w:rPr>
          <w:rFonts w:ascii="Cambria" w:hAnsi="Cambria" w:cs="Times New Roman"/>
          <w:b/>
          <w:sz w:val="24"/>
          <w:szCs w:val="24"/>
        </w:rPr>
        <w:t>δυνατότητα εξ αποστάσεως παρακολούθησης</w:t>
      </w:r>
      <w:r w:rsidRPr="00B75866">
        <w:rPr>
          <w:rFonts w:ascii="Cambria" w:hAnsi="Cambria" w:cs="Times New Roman"/>
          <w:sz w:val="24"/>
          <w:szCs w:val="24"/>
        </w:rPr>
        <w:t xml:space="preserve">   </w:t>
      </w:r>
    </w:p>
    <w:p w:rsidR="00B75866" w:rsidRPr="00B75866" w:rsidRDefault="00B75866" w:rsidP="00B75866">
      <w:pPr>
        <w:pStyle w:val="a3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B75866">
        <w:rPr>
          <w:rFonts w:ascii="Cambria" w:hAnsi="Cambria" w:cs="Times New Roman"/>
          <w:sz w:val="24"/>
          <w:szCs w:val="24"/>
        </w:rPr>
        <w:t xml:space="preserve">οι </w:t>
      </w:r>
      <w:r w:rsidRPr="00B75866">
        <w:rPr>
          <w:rFonts w:ascii="Cambria" w:hAnsi="Cambria" w:cs="Times New Roman"/>
          <w:b/>
          <w:sz w:val="24"/>
          <w:szCs w:val="24"/>
        </w:rPr>
        <w:t>πέντε (5) ειδικεύσεις</w:t>
      </w:r>
      <w:r w:rsidRPr="00B75866">
        <w:rPr>
          <w:rFonts w:ascii="Cambria" w:hAnsi="Cambria" w:cs="Times New Roman"/>
          <w:sz w:val="24"/>
          <w:szCs w:val="24"/>
        </w:rPr>
        <w:t>:</w:t>
      </w:r>
    </w:p>
    <w:p w:rsidR="00B75866" w:rsidRPr="00B75866" w:rsidRDefault="00B75866" w:rsidP="00B75866">
      <w:pPr>
        <w:pStyle w:val="a3"/>
        <w:numPr>
          <w:ilvl w:val="0"/>
          <w:numId w:val="22"/>
        </w:numPr>
        <w:jc w:val="both"/>
        <w:rPr>
          <w:rFonts w:ascii="Cambria" w:hAnsi="Cambria" w:cs="Times New Roman"/>
          <w:sz w:val="24"/>
          <w:szCs w:val="24"/>
        </w:rPr>
      </w:pPr>
      <w:r w:rsidRPr="00B75866">
        <w:rPr>
          <w:rFonts w:ascii="Cambria" w:hAnsi="Cambria" w:cs="Times New Roman"/>
          <w:sz w:val="24"/>
          <w:szCs w:val="24"/>
        </w:rPr>
        <w:t>Χρηματοπιστωτικές Αγορές</w:t>
      </w:r>
    </w:p>
    <w:p w:rsidR="00B75866" w:rsidRPr="00B75866" w:rsidRDefault="00780735" w:rsidP="00B75866">
      <w:pPr>
        <w:pStyle w:val="a3"/>
        <w:numPr>
          <w:ilvl w:val="0"/>
          <w:numId w:val="2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Ενέργεια και</w:t>
      </w:r>
      <w:r w:rsidR="00B75866" w:rsidRPr="00B75866">
        <w:rPr>
          <w:rFonts w:ascii="Cambria" w:hAnsi="Cambria" w:cs="Times New Roman"/>
          <w:sz w:val="24"/>
          <w:szCs w:val="24"/>
        </w:rPr>
        <w:t xml:space="preserve"> Περιβάλλον</w:t>
      </w:r>
    </w:p>
    <w:p w:rsidR="00B75866" w:rsidRPr="00B75866" w:rsidRDefault="00B75866" w:rsidP="00B75866">
      <w:pPr>
        <w:pStyle w:val="a3"/>
        <w:numPr>
          <w:ilvl w:val="0"/>
          <w:numId w:val="22"/>
        </w:numPr>
        <w:jc w:val="both"/>
        <w:rPr>
          <w:rFonts w:ascii="Cambria" w:hAnsi="Cambria" w:cs="Times New Roman"/>
          <w:sz w:val="24"/>
          <w:szCs w:val="24"/>
        </w:rPr>
      </w:pPr>
      <w:r w:rsidRPr="00B75866">
        <w:rPr>
          <w:rFonts w:ascii="Cambria" w:hAnsi="Cambria" w:cs="Times New Roman"/>
          <w:sz w:val="24"/>
          <w:szCs w:val="24"/>
        </w:rPr>
        <w:t xml:space="preserve">Τομέα των Επιχειρήσεων (Business) </w:t>
      </w:r>
    </w:p>
    <w:p w:rsidR="00B75866" w:rsidRPr="00B75866" w:rsidRDefault="00B75866" w:rsidP="00B75866">
      <w:pPr>
        <w:pStyle w:val="a3"/>
        <w:numPr>
          <w:ilvl w:val="0"/>
          <w:numId w:val="22"/>
        </w:numPr>
        <w:jc w:val="both"/>
        <w:rPr>
          <w:rFonts w:ascii="Cambria" w:hAnsi="Cambria" w:cs="Times New Roman"/>
          <w:sz w:val="24"/>
          <w:szCs w:val="24"/>
        </w:rPr>
      </w:pPr>
      <w:r w:rsidRPr="00B75866">
        <w:rPr>
          <w:rFonts w:ascii="Cambria" w:hAnsi="Cambria" w:cs="Times New Roman"/>
          <w:sz w:val="24"/>
          <w:szCs w:val="24"/>
        </w:rPr>
        <w:t xml:space="preserve">Ανταγωνισμό </w:t>
      </w:r>
    </w:p>
    <w:p w:rsidR="00B75866" w:rsidRDefault="00B75866" w:rsidP="00B75866">
      <w:pPr>
        <w:pStyle w:val="a3"/>
        <w:numPr>
          <w:ilvl w:val="0"/>
          <w:numId w:val="22"/>
        </w:numPr>
        <w:jc w:val="both"/>
        <w:rPr>
          <w:rFonts w:ascii="Cambria" w:hAnsi="Cambria" w:cs="Times New Roman"/>
          <w:sz w:val="24"/>
          <w:szCs w:val="24"/>
        </w:rPr>
      </w:pPr>
      <w:r w:rsidRPr="00B75866">
        <w:rPr>
          <w:rFonts w:ascii="Cambria" w:hAnsi="Cambria" w:cs="Times New Roman"/>
          <w:sz w:val="24"/>
          <w:szCs w:val="24"/>
        </w:rPr>
        <w:t>Γενική Κατεύθυνση Δίκαιο και Οικονομικά</w:t>
      </w:r>
    </w:p>
    <w:p w:rsidR="00270C00" w:rsidRDefault="00270C00" w:rsidP="00780735">
      <w:pPr>
        <w:jc w:val="both"/>
        <w:rPr>
          <w:rFonts w:ascii="Cambria" w:hAnsi="Cambria" w:cs="Times New Roman"/>
          <w:sz w:val="24"/>
          <w:szCs w:val="24"/>
        </w:rPr>
      </w:pPr>
    </w:p>
    <w:p w:rsidR="00F607B3" w:rsidRPr="00247C63" w:rsidRDefault="00D41F26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hyperlink r:id="rId11" w:history="1">
        <w:r w:rsidR="00F607B3" w:rsidRPr="00247C63">
          <w:rPr>
            <w:rFonts w:ascii="Cambria" w:hAnsi="Cambria" w:cs="Times New Roman"/>
            <w:b/>
            <w:color w:val="FFFFFF" w:themeColor="background1"/>
            <w:sz w:val="28"/>
            <w:szCs w:val="28"/>
          </w:rPr>
          <w:t>Στόχοι</w:t>
        </w:r>
      </w:hyperlink>
    </w:p>
    <w:p w:rsidR="00780735" w:rsidRDefault="00780735" w:rsidP="00C1496B">
      <w:pPr>
        <w:shd w:val="clear" w:color="auto" w:fill="FFFFFF"/>
        <w:spacing w:after="0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:rsidR="00F607B3" w:rsidRPr="00247C63" w:rsidRDefault="00247E59" w:rsidP="00C1496B">
      <w:pPr>
        <w:shd w:val="clear" w:color="auto" w:fill="FFFFFF"/>
        <w:spacing w:after="0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Σκοπός του Προγράμματος είναι η παροχή υψηλού επιπέδου μεταπτυχιακών σπουδών στα γνωστικά αντικείμενα που σχετίζονται με τις Νομικές και Οικονομικές Επιστήμες,  με κύριους στόχους: </w:t>
      </w:r>
      <w:r w:rsidR="00F607B3"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</w:p>
    <w:p w:rsidR="004237CE" w:rsidRPr="00247C63" w:rsidRDefault="004237CE" w:rsidP="00247C63">
      <w:pPr>
        <w:shd w:val="clear" w:color="auto" w:fill="FFFFFF"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:rsidR="004237CE" w:rsidRPr="004237CE" w:rsidRDefault="004237CE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lastRenderedPageBreak/>
        <w:t xml:space="preserve">Κατάρτιση εξειδικευμένων αποφοίτων με </w:t>
      </w:r>
      <w:r w:rsidRPr="004237CE">
        <w:rPr>
          <w:rFonts w:ascii="Cambria" w:hAnsi="Cambria" w:cs="Times New Roman"/>
          <w:b/>
          <w:sz w:val="24"/>
          <w:szCs w:val="24"/>
          <w:shd w:val="clear" w:color="auto" w:fill="FFFFFF"/>
        </w:rPr>
        <w:t>στέρεο θεωρητικό υπόβαθρο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στις Επιστήμες του Δικαίου και της Οικονομίας και </w:t>
      </w:r>
      <w:r w:rsidRPr="004237CE">
        <w:rPr>
          <w:rFonts w:ascii="Cambria" w:hAnsi="Cambria" w:cs="Times New Roman"/>
          <w:b/>
          <w:sz w:val="24"/>
          <w:szCs w:val="24"/>
          <w:shd w:val="clear" w:color="auto" w:fill="FFFFFF"/>
        </w:rPr>
        <w:t>ικανότητα διεπιστημονικής αντιμετώπισης σύνθετων πρακτικών προβλημάτων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>.</w:t>
      </w:r>
    </w:p>
    <w:p w:rsidR="004237CE" w:rsidRPr="00247C63" w:rsidRDefault="004237CE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Την εδραίωση της αυτοπεποίθησης των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αποφοίτων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μέσω της παροχής εξειδικευμένων γνώσεων και συστηματικής πρακτικής εξάσκησης </w:t>
      </w:r>
      <w:r w:rsidRPr="004237CE">
        <w:rPr>
          <w:rFonts w:ascii="Cambria" w:hAnsi="Cambria" w:cs="Times New Roman"/>
          <w:b/>
          <w:sz w:val="24"/>
          <w:szCs w:val="24"/>
          <w:shd w:val="clear" w:color="auto" w:fill="FFFFFF"/>
        </w:rPr>
        <w:t>στη συνθετική προσέγγιση των γνωστικών αντικειμένων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των παραπάνω δύο επιστημονικών κλάδων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,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ώστε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να είναι σε θέση να στελεχώσουν Επιχειρήσεις και Οργανισμούς του Δ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ημοσίου 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και Ιδιωτικού τομέα συμβάλλοντας στη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βελτίωση της λειτουργίας τους, την αύξηση της αποτελεσματικότητας και την αποδοτικότητάς τους.</w:t>
      </w:r>
    </w:p>
    <w:p w:rsidR="004237CE" w:rsidRPr="00247C63" w:rsidRDefault="004237CE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Την υποστήριξη και προαγωγή της </w:t>
      </w:r>
      <w:r w:rsidRPr="004237CE">
        <w:rPr>
          <w:rFonts w:ascii="Cambria" w:hAnsi="Cambria" w:cs="Times New Roman"/>
          <w:b/>
          <w:sz w:val="24"/>
          <w:szCs w:val="24"/>
          <w:shd w:val="clear" w:color="auto" w:fill="FFFFFF"/>
        </w:rPr>
        <w:t>διεπιστημονικής έρευνας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πάνω σε σύνθετα οικονομικοδικαιϊκά ερευνητικά αντικείμενα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,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καθώς και τη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>ν εκπόνηση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υψηλού επιπέδου συναφών μεταπτυχιακών διπλωματικών εργασιών.</w:t>
      </w:r>
    </w:p>
    <w:p w:rsidR="004237CE" w:rsidRDefault="004237CE" w:rsidP="00247C63">
      <w:pPr>
        <w:pStyle w:val="a3"/>
        <w:numPr>
          <w:ilvl w:val="0"/>
          <w:numId w:val="5"/>
        </w:numPr>
        <w:ind w:left="0" w:firstLine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Την </w:t>
      </w:r>
      <w:r w:rsidRPr="004237CE">
        <w:rPr>
          <w:rFonts w:ascii="Cambria" w:hAnsi="Cambria" w:cs="Times New Roman"/>
          <w:b/>
          <w:sz w:val="24"/>
          <w:szCs w:val="24"/>
          <w:shd w:val="clear" w:color="auto" w:fill="FFFFFF"/>
        </w:rPr>
        <w:t>ανάπτυξη κριτικών και ερευνητικών δεξιοτήτων</w:t>
      </w:r>
      <w:r w:rsidRPr="004237CE">
        <w:rPr>
          <w:rFonts w:ascii="Cambria" w:hAnsi="Cambria" w:cs="Times New Roman"/>
          <w:sz w:val="24"/>
          <w:szCs w:val="24"/>
          <w:shd w:val="clear" w:color="auto" w:fill="FFFFFF"/>
        </w:rPr>
        <w:t xml:space="preserve"> που απαιτούνται για</w:t>
      </w:r>
      <w:r w:rsidRPr="00247C63">
        <w:rPr>
          <w:rFonts w:ascii="Cambria" w:hAnsi="Cambria" w:cs="Times New Roman"/>
          <w:sz w:val="24"/>
          <w:szCs w:val="24"/>
          <w:shd w:val="clear" w:color="auto" w:fill="FFFFFF"/>
        </w:rPr>
        <w:t xml:space="preserve"> σπουδές διδακτορικού επιπέδου.</w:t>
      </w:r>
    </w:p>
    <w:p w:rsidR="009E3DF1" w:rsidRDefault="009E3DF1" w:rsidP="009E3DF1">
      <w:pPr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</w:p>
    <w:p w:rsidR="00F607B3" w:rsidRPr="00247C63" w:rsidRDefault="00D41F26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hyperlink r:id="rId12" w:history="1">
        <w:r w:rsidR="00F607B3" w:rsidRPr="00247C63">
          <w:rPr>
            <w:rFonts w:ascii="Cambria" w:hAnsi="Cambria" w:cs="Times New Roman"/>
            <w:b/>
            <w:color w:val="FFFFFF" w:themeColor="background1"/>
            <w:sz w:val="28"/>
            <w:szCs w:val="28"/>
          </w:rPr>
          <w:t>Πρόγραμμα Σπουδών</w:t>
        </w:r>
      </w:hyperlink>
    </w:p>
    <w:p w:rsidR="004237CE" w:rsidRDefault="004237CE" w:rsidP="00C1496B">
      <w:pPr>
        <w:spacing w:after="0"/>
        <w:ind w:firstLine="567"/>
        <w:jc w:val="both"/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</w:pPr>
      <w:r w:rsidRPr="004237CE"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  <w:t xml:space="preserve">Το Δ.Π.Μ.Σ. απονέμει </w:t>
      </w:r>
      <w:r w:rsidRPr="004237CE">
        <w:rPr>
          <w:rFonts w:ascii="Cambria" w:eastAsia="Times New Roman" w:hAnsi="Cambria" w:cs="Times New Roman"/>
          <w:bCs/>
          <w:spacing w:val="1"/>
          <w:sz w:val="24"/>
          <w:szCs w:val="24"/>
          <w:lang w:eastAsia="el-GR"/>
        </w:rPr>
        <w:t>Δίπλωμα Μεταπτυχιακών Σπουδών</w:t>
      </w:r>
      <w:r w:rsidRPr="004237CE"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  <w:t xml:space="preserve"> (Δ.Μ.Σ)</w:t>
      </w:r>
      <w:r w:rsidRPr="00247C63"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  <w:t xml:space="preserve"> </w:t>
      </w:r>
      <w:r w:rsidRPr="004237CE">
        <w:rPr>
          <w:rFonts w:ascii="Cambria" w:eastAsia="Times New Roman" w:hAnsi="Cambria" w:cs="Times New Roman"/>
          <w:sz w:val="24"/>
          <w:szCs w:val="24"/>
          <w:lang w:eastAsia="el-GR"/>
        </w:rPr>
        <w:t>«Δίκαιο και Οικονομικά» (</w:t>
      </w:r>
      <w:r w:rsidRPr="004237CE">
        <w:rPr>
          <w:rFonts w:ascii="Cambria" w:eastAsia="Times New Roman" w:hAnsi="Cambria" w:cs="Times New Roman"/>
          <w:sz w:val="24"/>
          <w:szCs w:val="24"/>
          <w:lang w:val="en-US" w:eastAsia="el-GR"/>
        </w:rPr>
        <w:t>MSc</w:t>
      </w:r>
      <w:r w:rsidRPr="004237CE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“</w:t>
      </w:r>
      <w:r w:rsidRPr="004237CE">
        <w:rPr>
          <w:rFonts w:ascii="Cambria" w:eastAsia="Times New Roman" w:hAnsi="Cambria" w:cs="Times New Roman"/>
          <w:sz w:val="24"/>
          <w:szCs w:val="24"/>
          <w:lang w:val="en-US" w:eastAsia="el-GR"/>
        </w:rPr>
        <w:t>Law</w:t>
      </w:r>
      <w:r w:rsidRPr="004237CE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Pr="004237CE">
        <w:rPr>
          <w:rFonts w:ascii="Cambria" w:eastAsia="Times New Roman" w:hAnsi="Cambria" w:cs="Times New Roman"/>
          <w:sz w:val="24"/>
          <w:szCs w:val="24"/>
          <w:lang w:val="en-US" w:eastAsia="el-GR"/>
        </w:rPr>
        <w:t>and</w:t>
      </w:r>
      <w:r w:rsidRPr="004237CE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Pr="004237CE">
        <w:rPr>
          <w:rFonts w:ascii="Cambria" w:eastAsia="Times New Roman" w:hAnsi="Cambria" w:cs="Times New Roman"/>
          <w:sz w:val="24"/>
          <w:szCs w:val="24"/>
          <w:lang w:val="en-US" w:eastAsia="el-GR"/>
        </w:rPr>
        <w:t>Economics</w:t>
      </w:r>
      <w:r w:rsidRPr="004237CE">
        <w:rPr>
          <w:rFonts w:ascii="Cambria" w:eastAsia="Times New Roman" w:hAnsi="Cambria" w:cs="Times New Roman"/>
          <w:sz w:val="24"/>
          <w:szCs w:val="24"/>
          <w:lang w:eastAsia="el-GR"/>
        </w:rPr>
        <w:t>”)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Pr="004237CE"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  <w:t xml:space="preserve">στις εξής </w:t>
      </w:r>
      <w:r w:rsidRPr="004237CE">
        <w:rPr>
          <w:rFonts w:ascii="Cambria" w:eastAsia="Times New Roman" w:hAnsi="Cambria" w:cs="Times New Roman"/>
          <w:b/>
          <w:spacing w:val="1"/>
          <w:sz w:val="24"/>
          <w:szCs w:val="24"/>
          <w:lang w:eastAsia="el-GR"/>
        </w:rPr>
        <w:t>πέντε (5) ειδικεύσεις</w:t>
      </w:r>
      <w:r w:rsidRPr="004237CE"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  <w:t>:</w:t>
      </w:r>
    </w:p>
    <w:p w:rsidR="00E23608" w:rsidRDefault="00E23608" w:rsidP="00C1496B">
      <w:pPr>
        <w:spacing w:after="0"/>
        <w:ind w:firstLine="567"/>
        <w:jc w:val="both"/>
        <w:rPr>
          <w:rFonts w:ascii="Cambria" w:eastAsia="Times New Roman" w:hAnsi="Cambria" w:cs="Times New Roman"/>
          <w:spacing w:val="1"/>
          <w:sz w:val="24"/>
          <w:szCs w:val="24"/>
          <w:lang w:eastAsia="el-GR"/>
        </w:rPr>
      </w:pPr>
    </w:p>
    <w:p w:rsidR="00692A16" w:rsidRPr="00247C63" w:rsidRDefault="00692A16" w:rsidP="00692A16">
      <w:pPr>
        <w:pStyle w:val="a3"/>
        <w:numPr>
          <w:ilvl w:val="0"/>
          <w:numId w:val="11"/>
        </w:numPr>
        <w:tabs>
          <w:tab w:val="left" w:pos="720"/>
        </w:tabs>
        <w:spacing w:after="0"/>
        <w:ind w:hanging="720"/>
        <w:jc w:val="both"/>
        <w:rPr>
          <w:rFonts w:ascii="Cambria" w:eastAsia="Times New Roman" w:hAnsi="Cambria" w:cs="Times New Roman"/>
          <w:spacing w:val="1"/>
          <w:sz w:val="24"/>
          <w:szCs w:val="24"/>
        </w:rPr>
      </w:pP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>Χρηματοπιστωτικές Αγορές</w:t>
      </w:r>
    </w:p>
    <w:p w:rsidR="00692A16" w:rsidRPr="00247C63" w:rsidRDefault="00692A16" w:rsidP="00692A16">
      <w:pPr>
        <w:pStyle w:val="a3"/>
        <w:numPr>
          <w:ilvl w:val="0"/>
          <w:numId w:val="11"/>
        </w:numPr>
        <w:tabs>
          <w:tab w:val="left" w:pos="720"/>
        </w:tabs>
        <w:spacing w:after="0"/>
        <w:ind w:hanging="720"/>
        <w:jc w:val="both"/>
        <w:rPr>
          <w:rFonts w:ascii="Cambria" w:eastAsia="Times New Roman" w:hAnsi="Cambria" w:cs="Times New Roman"/>
          <w:spacing w:val="1"/>
          <w:sz w:val="24"/>
          <w:szCs w:val="24"/>
        </w:rPr>
      </w:pPr>
      <w:r>
        <w:rPr>
          <w:rFonts w:ascii="Cambria" w:eastAsia="Times New Roman" w:hAnsi="Cambria" w:cs="Times New Roman"/>
          <w:spacing w:val="1"/>
          <w:sz w:val="24"/>
          <w:szCs w:val="24"/>
        </w:rPr>
        <w:t xml:space="preserve">Ενέργεια και </w:t>
      </w: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>Περιβάλλον</w:t>
      </w:r>
    </w:p>
    <w:p w:rsidR="00692A16" w:rsidRPr="00247C63" w:rsidRDefault="00692A16" w:rsidP="00692A16">
      <w:pPr>
        <w:pStyle w:val="a3"/>
        <w:numPr>
          <w:ilvl w:val="0"/>
          <w:numId w:val="11"/>
        </w:numPr>
        <w:tabs>
          <w:tab w:val="left" w:pos="720"/>
        </w:tabs>
        <w:spacing w:after="0"/>
        <w:ind w:hanging="720"/>
        <w:jc w:val="both"/>
        <w:rPr>
          <w:rFonts w:ascii="Cambria" w:eastAsia="Times New Roman" w:hAnsi="Cambria" w:cs="Times New Roman"/>
          <w:spacing w:val="1"/>
          <w:sz w:val="24"/>
          <w:szCs w:val="24"/>
        </w:rPr>
      </w:pP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>Τομέα</w:t>
      </w:r>
      <w:r>
        <w:rPr>
          <w:rFonts w:ascii="Cambria" w:eastAsia="Times New Roman" w:hAnsi="Cambria" w:cs="Times New Roman"/>
          <w:spacing w:val="1"/>
          <w:sz w:val="24"/>
          <w:szCs w:val="24"/>
        </w:rPr>
        <w:t>ς</w:t>
      </w: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 xml:space="preserve"> των Επιχειρήσεων (</w:t>
      </w:r>
      <w:r w:rsidRPr="00247C63">
        <w:rPr>
          <w:rFonts w:ascii="Cambria" w:eastAsia="Times New Roman" w:hAnsi="Cambria" w:cs="Times New Roman"/>
          <w:spacing w:val="1"/>
          <w:sz w:val="24"/>
          <w:szCs w:val="24"/>
          <w:lang w:val="en-US"/>
        </w:rPr>
        <w:t>Business</w:t>
      </w: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 xml:space="preserve">) </w:t>
      </w:r>
    </w:p>
    <w:p w:rsidR="00692A16" w:rsidRPr="00247C63" w:rsidRDefault="00692A16" w:rsidP="00692A16">
      <w:pPr>
        <w:pStyle w:val="a3"/>
        <w:numPr>
          <w:ilvl w:val="0"/>
          <w:numId w:val="11"/>
        </w:numPr>
        <w:tabs>
          <w:tab w:val="left" w:pos="720"/>
        </w:tabs>
        <w:spacing w:after="0"/>
        <w:ind w:hanging="720"/>
        <w:jc w:val="both"/>
        <w:rPr>
          <w:rFonts w:ascii="Cambria" w:eastAsia="Times New Roman" w:hAnsi="Cambria" w:cs="Times New Roman"/>
          <w:spacing w:val="1"/>
          <w:sz w:val="24"/>
          <w:szCs w:val="24"/>
        </w:rPr>
      </w:pP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>Ανταγωνισμό</w:t>
      </w:r>
      <w:r>
        <w:rPr>
          <w:rFonts w:ascii="Cambria" w:eastAsia="Times New Roman" w:hAnsi="Cambria" w:cs="Times New Roman"/>
          <w:spacing w:val="1"/>
          <w:sz w:val="24"/>
          <w:szCs w:val="24"/>
        </w:rPr>
        <w:t>ς</w:t>
      </w: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 xml:space="preserve"> </w:t>
      </w:r>
    </w:p>
    <w:p w:rsidR="00692A16" w:rsidRPr="00E23608" w:rsidRDefault="00692A16" w:rsidP="00692A16">
      <w:pPr>
        <w:pStyle w:val="a3"/>
        <w:numPr>
          <w:ilvl w:val="0"/>
          <w:numId w:val="11"/>
        </w:numPr>
        <w:tabs>
          <w:tab w:val="left" w:pos="720"/>
        </w:tabs>
        <w:spacing w:after="0"/>
        <w:ind w:hanging="720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47C63">
        <w:rPr>
          <w:rFonts w:ascii="Cambria" w:eastAsia="Times New Roman" w:hAnsi="Cambria" w:cs="Times New Roman"/>
          <w:spacing w:val="1"/>
          <w:sz w:val="24"/>
          <w:szCs w:val="24"/>
        </w:rPr>
        <w:t>Δίκαιο και Οικονομικά</w:t>
      </w:r>
    </w:p>
    <w:p w:rsidR="00E23608" w:rsidRPr="00247C63" w:rsidRDefault="00E23608" w:rsidP="00E23608">
      <w:pPr>
        <w:pStyle w:val="a3"/>
        <w:tabs>
          <w:tab w:val="left" w:pos="720"/>
        </w:tabs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:rsidR="00F607B3" w:rsidRDefault="003B3E2A" w:rsidP="00780735">
      <w:pPr>
        <w:shd w:val="clear" w:color="auto" w:fill="FFFFFF"/>
        <w:spacing w:after="161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692A16">
        <w:rPr>
          <w:rFonts w:ascii="Cambria" w:eastAsia="Times New Roman" w:hAnsi="Cambria" w:cs="Times New Roman"/>
          <w:sz w:val="24"/>
          <w:szCs w:val="24"/>
          <w:lang w:eastAsia="el-GR"/>
        </w:rPr>
        <w:t>Οι φοιτητές</w:t>
      </w:r>
      <w:r w:rsidR="00C1496B" w:rsidRPr="00692A16">
        <w:rPr>
          <w:rFonts w:ascii="Cambria" w:eastAsia="Times New Roman" w:hAnsi="Cambria" w:cs="Times New Roman"/>
          <w:sz w:val="24"/>
          <w:szCs w:val="24"/>
          <w:lang w:eastAsia="el-GR"/>
        </w:rPr>
        <w:t>/</w:t>
      </w:r>
      <w:proofErr w:type="spellStart"/>
      <w:r w:rsidR="00C1496B" w:rsidRPr="00692A16">
        <w:rPr>
          <w:rFonts w:ascii="Cambria" w:eastAsia="Times New Roman" w:hAnsi="Cambria" w:cs="Times New Roman"/>
          <w:sz w:val="24"/>
          <w:szCs w:val="24"/>
          <w:lang w:eastAsia="el-GR"/>
        </w:rPr>
        <w:t>τριες</w:t>
      </w:r>
      <w:proofErr w:type="spellEnd"/>
      <w:r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διαλέγουν ειδίκευση</w:t>
      </w:r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με το πέρας του πρώτου εξαμήνου.</w:t>
      </w:r>
      <w:r w:rsidR="00780735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>Οι φοιτητές/</w:t>
      </w:r>
      <w:proofErr w:type="spellStart"/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>τριες</w:t>
      </w:r>
      <w:proofErr w:type="spellEnd"/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οφείλουν </w:t>
      </w:r>
      <w:r w:rsidR="00B25A5A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συνολικά </w:t>
      </w:r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να παρακολουθήσουν και να εξεταστούν επιτυχώς σε </w:t>
      </w:r>
      <w:r w:rsidR="00F607B3" w:rsidRPr="00692A16">
        <w:rPr>
          <w:rFonts w:ascii="Cambria" w:eastAsia="Times New Roman" w:hAnsi="Cambria" w:cs="Times New Roman"/>
          <w:b/>
          <w:sz w:val="24"/>
          <w:szCs w:val="24"/>
          <w:lang w:eastAsia="el-GR"/>
        </w:rPr>
        <w:t>οκτώ (8) μαθήματα</w:t>
      </w:r>
      <w:r w:rsidR="00642096" w:rsidRPr="00692A16">
        <w:rPr>
          <w:rFonts w:ascii="Cambria" w:eastAsia="Times New Roman" w:hAnsi="Cambria" w:cs="Times New Roman"/>
          <w:sz w:val="24"/>
          <w:szCs w:val="24"/>
          <w:lang w:eastAsia="el-GR"/>
        </w:rPr>
        <w:t>:</w:t>
      </w:r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>τέσσερα (4</w:t>
      </w:r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) υποχρεωτικά δύο (2) </w:t>
      </w:r>
      <w:r w:rsidR="00B25A5A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ή τρία (3) </w:t>
      </w:r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υποχρεωτικής </w:t>
      </w:r>
      <w:r w:rsidR="00F607B3" w:rsidRPr="00692A16">
        <w:rPr>
          <w:rFonts w:ascii="Cambria" w:eastAsia="Times New Roman" w:hAnsi="Cambria" w:cs="Times New Roman"/>
          <w:sz w:val="24"/>
          <w:szCs w:val="24"/>
          <w:lang w:eastAsia="el-GR"/>
        </w:rPr>
        <w:t>επιλογής</w:t>
      </w:r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και </w:t>
      </w:r>
      <w:r w:rsidR="00B25A5A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ένα (1) ή </w:t>
      </w:r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>δύο (2) επιλογής</w:t>
      </w:r>
      <w:r w:rsidR="00B25A5A">
        <w:rPr>
          <w:rFonts w:ascii="Cambria" w:eastAsia="Times New Roman" w:hAnsi="Cambria" w:cs="Times New Roman"/>
          <w:sz w:val="24"/>
          <w:szCs w:val="24"/>
          <w:lang w:eastAsia="el-GR"/>
        </w:rPr>
        <w:t>, ανάλογα με την ειδίκευση</w:t>
      </w:r>
      <w:r w:rsidRPr="00692A16">
        <w:rPr>
          <w:rFonts w:ascii="Cambria" w:eastAsia="Times New Roman" w:hAnsi="Cambria" w:cs="Times New Roman"/>
          <w:sz w:val="24"/>
          <w:szCs w:val="24"/>
          <w:lang w:eastAsia="el-GR"/>
        </w:rPr>
        <w:t>.</w:t>
      </w:r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Το Δ.Π.Μ.Σ. «Δίκαιο και Οικονομία» προσφέρει δύο μαθήματα υποβάθρου</w:t>
      </w:r>
      <w:r w:rsid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(Προπαρασκευαστικά Μαθήματα)</w:t>
      </w:r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με στόχο να εισαχθούν οι  φοιτητές/-</w:t>
      </w:r>
      <w:proofErr w:type="spellStart"/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>τριες</w:t>
      </w:r>
      <w:proofErr w:type="spellEnd"/>
      <w:r w:rsidR="004237CE" w:rsidRPr="00692A1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στις απαραίτητες βασικές γνώσεις, ώστε να μπορούν να παρακολουθήσουν απρόσκοπτα τα μαθήματα του Προγράμματος.</w:t>
      </w:r>
      <w:r w:rsidR="00CB7BC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Τα Προπαρασκευαστικά δεν εξετάζονται. </w:t>
      </w:r>
    </w:p>
    <w:p w:rsidR="00CB7BC7" w:rsidRPr="00CB7BC7" w:rsidRDefault="00CB7BC7" w:rsidP="00CB7BC7">
      <w:pPr>
        <w:shd w:val="clear" w:color="auto" w:fill="FFFFFF"/>
        <w:spacing w:after="161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CB7BC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Τα μαθήματα που εμφανίζονται με το ίδιο χρώμα </w:t>
      </w:r>
      <w:r>
        <w:rPr>
          <w:rFonts w:ascii="Cambria" w:eastAsia="Times New Roman" w:hAnsi="Cambria" w:cs="Times New Roman"/>
          <w:sz w:val="24"/>
          <w:szCs w:val="24"/>
          <w:lang w:eastAsia="el-GR"/>
        </w:rPr>
        <w:t>είναι υποχρεωτικής επιλογής για τη συγκεκριμένη ειδίκευση</w:t>
      </w:r>
      <w:r w:rsidRPr="00CB7BC7">
        <w:rPr>
          <w:rFonts w:ascii="Cambria" w:eastAsia="Times New Roman" w:hAnsi="Cambria" w:cs="Times New Roman"/>
          <w:sz w:val="24"/>
          <w:szCs w:val="24"/>
          <w:shd w:val="clear" w:color="auto" w:fill="FFC000"/>
          <w:lang w:eastAsia="el-GR"/>
        </w:rPr>
        <w:t xml:space="preserve">. Πορτοκαλί: </w:t>
      </w:r>
      <w:r w:rsidRPr="00CB7BC7">
        <w:rPr>
          <w:rFonts w:ascii="Cambria" w:eastAsia="Times New Roman" w:hAnsi="Cambria" w:cs="Times New Roman"/>
          <w:color w:val="000000" w:themeColor="text1"/>
          <w:sz w:val="24"/>
          <w:szCs w:val="24"/>
          <w:shd w:val="clear" w:color="auto" w:fill="FFC000"/>
          <w:lang w:eastAsia="el-GR"/>
        </w:rPr>
        <w:t>Χρηματοπιστωτικές αγορές</w:t>
      </w:r>
      <w:r w:rsidRPr="003C0289">
        <w:rPr>
          <w:rFonts w:ascii="Cambria" w:eastAsia="Times New Roman" w:hAnsi="Cambria" w:cs="Times New Roman"/>
          <w:color w:val="000000" w:themeColor="text1"/>
          <w:sz w:val="24"/>
          <w:szCs w:val="24"/>
          <w:lang w:eastAsia="el-GR"/>
        </w:rPr>
        <w:t xml:space="preserve">  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l-GR"/>
        </w:rPr>
        <w:t xml:space="preserve">/ </w:t>
      </w:r>
      <w:r w:rsidRPr="00CB7BC7">
        <w:rPr>
          <w:rFonts w:ascii="Cambria" w:eastAsia="Times New Roman" w:hAnsi="Cambria" w:cs="Times New Roman"/>
          <w:color w:val="000000" w:themeColor="text1"/>
          <w:sz w:val="24"/>
          <w:szCs w:val="24"/>
          <w:shd w:val="clear" w:color="auto" w:fill="B8CCE4" w:themeFill="accent1" w:themeFillTint="66"/>
          <w:lang w:eastAsia="el-GR"/>
        </w:rPr>
        <w:t xml:space="preserve">Γαλάζιο: </w:t>
      </w:r>
      <w:r w:rsidRPr="00CB7BC7">
        <w:rPr>
          <w:rFonts w:ascii="Cambria" w:eastAsia="Times New Roman" w:hAnsi="Cambria" w:cs="Times New Roman"/>
          <w:color w:val="000000" w:themeColor="text1"/>
          <w:sz w:val="24"/>
          <w:szCs w:val="24"/>
          <w:shd w:val="clear" w:color="auto" w:fill="B8CCE4" w:themeFill="accent1" w:themeFillTint="66"/>
          <w:lang w:val="en-US" w:eastAsia="el-GR"/>
        </w:rPr>
        <w:t>Business</w:t>
      </w:r>
      <w:r w:rsidRPr="00CB7BC7">
        <w:rPr>
          <w:rFonts w:ascii="Cambria" w:eastAsia="Times New Roman" w:hAnsi="Cambria" w:cs="Times New Roman"/>
          <w:color w:val="000000" w:themeColor="text1"/>
          <w:sz w:val="24"/>
          <w:szCs w:val="24"/>
          <w:lang w:eastAsia="el-GR"/>
        </w:rPr>
        <w:t xml:space="preserve"> / </w:t>
      </w:r>
      <w:r w:rsidRPr="00CB7BC7">
        <w:rPr>
          <w:rFonts w:ascii="Cambria" w:eastAsia="Times New Roman" w:hAnsi="Cambria" w:cs="Times New Roman"/>
          <w:color w:val="000000" w:themeColor="text1"/>
          <w:sz w:val="24"/>
          <w:szCs w:val="24"/>
          <w:shd w:val="clear" w:color="auto" w:fill="92D050"/>
          <w:lang w:eastAsia="el-GR"/>
        </w:rPr>
        <w:t>Πράσινο: Ενέργεια και Περιβάλλον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l-GR"/>
        </w:rPr>
        <w:t xml:space="preserve"> /  </w:t>
      </w:r>
      <w:r w:rsidRPr="00CB7BC7">
        <w:rPr>
          <w:rFonts w:ascii="Cambria" w:eastAsia="Times New Roman" w:hAnsi="Cambria" w:cs="Times New Roman"/>
          <w:color w:val="000000" w:themeColor="text1"/>
          <w:sz w:val="24"/>
          <w:szCs w:val="24"/>
          <w:shd w:val="clear" w:color="auto" w:fill="FBD4B4" w:themeFill="accent6" w:themeFillTint="66"/>
          <w:lang w:eastAsia="el-GR"/>
        </w:rPr>
        <w:t>Κεραμιδί: Ανταγωνισμός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el-GR"/>
        </w:rPr>
        <w:t xml:space="preserve">. Τα μαθήματα στο λευκό πλαίσιο είναι ελεύθερης επιλογής. </w:t>
      </w:r>
      <w:r w:rsidRPr="00CB7BC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Με </w:t>
      </w:r>
      <w:r w:rsidRPr="00CB7BC7">
        <w:rPr>
          <w:rFonts w:ascii="Cambria" w:eastAsia="Times New Roman" w:hAnsi="Cambria" w:cs="Times New Roman"/>
          <w:sz w:val="24"/>
          <w:szCs w:val="24"/>
          <w:lang w:eastAsia="el-GR"/>
        </w:rPr>
        <w:lastRenderedPageBreak/>
        <w:t>αυτόν τον τρόπο, κάθε ειδίκευση διαθέτει ένα συνεκτικό σύνολο μαθημάτων που εξασφαλίζει την απαραίτητη εμβάθυνση στο αντίστοιχο γνωστικό πεδίο.</w:t>
      </w:r>
    </w:p>
    <w:p w:rsidR="00CB7BC7" w:rsidRDefault="00CB7BC7" w:rsidP="00780735">
      <w:pPr>
        <w:shd w:val="clear" w:color="auto" w:fill="FFFFFF"/>
        <w:spacing w:after="161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:rsidR="004237CE" w:rsidRPr="00247C63" w:rsidRDefault="004237CE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Προπαρασκευαστικά Μαθήματα </w:t>
      </w:r>
      <w:r w:rsidRPr="00247C63">
        <w:rPr>
          <w:rFonts w:ascii="Cambria" w:hAnsi="Cambria" w:cs="Times New Roman"/>
          <w:color w:val="FFFFFF" w:themeColor="background1"/>
          <w:sz w:val="28"/>
          <w:szCs w:val="28"/>
        </w:rPr>
        <w:t>(Προσφέρονται πριν την αρχή του Α΄ εξαμήνου)</w:t>
      </w:r>
    </w:p>
    <w:tbl>
      <w:tblPr>
        <w:tblW w:w="8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549"/>
        <w:gridCol w:w="2100"/>
      </w:tblGrid>
      <w:tr w:rsidR="00E23608" w:rsidTr="00E23608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FFFFFF"/>
              </w:rPr>
            </w:pPr>
            <w:r>
              <w:rPr>
                <w:rFonts w:ascii="Cambria" w:hAnsi="Cambria" w:cs="Calibri"/>
                <w:color w:val="FFFFFF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Εισαγωγή στα Οικονομικά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Προπαρασκευαστικό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4406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FFFFFF"/>
                <w:sz w:val="24"/>
                <w:szCs w:val="24"/>
              </w:rPr>
            </w:pPr>
            <w:r>
              <w:rPr>
                <w:rFonts w:ascii="Cambria" w:hAnsi="Cambria" w:cs="Calibri"/>
                <w:color w:val="FFFFFF"/>
              </w:rPr>
              <w:t>2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Εισαγωγή στο Δίκαιο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Προπαρασκευαστικό</w:t>
            </w:r>
          </w:p>
        </w:tc>
      </w:tr>
    </w:tbl>
    <w:p w:rsidR="00BC1D06" w:rsidRPr="00247C63" w:rsidRDefault="00E23608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Α΄ Εξάμηνο</w:t>
      </w:r>
    </w:p>
    <w:tbl>
      <w:tblPr>
        <w:tblW w:w="8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535"/>
        <w:gridCol w:w="2100"/>
      </w:tblGrid>
      <w:tr w:rsidR="00E23608" w:rsidTr="00E23608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α/α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Μάθημα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ECTS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FFFFFF"/>
                <w:sz w:val="24"/>
                <w:szCs w:val="24"/>
              </w:rPr>
            </w:pPr>
            <w:r>
              <w:rPr>
                <w:rFonts w:ascii="Cambria" w:hAnsi="Cambria" w:cs="Calibri"/>
                <w:color w:val="FFFFFF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Εισαγωγή στη διασύνδεση Δίκαιου και Οικονομικών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FFFFFF"/>
                <w:sz w:val="24"/>
                <w:szCs w:val="24"/>
              </w:rPr>
            </w:pPr>
            <w:r>
              <w:rPr>
                <w:rFonts w:ascii="Cambria" w:hAnsi="Cambria" w:cs="Calibri"/>
                <w:color w:val="FFFFFF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Δίκαιο και Οικονομικά της κυβερνητικής πολιτικής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FFFFFF"/>
                <w:sz w:val="24"/>
                <w:szCs w:val="24"/>
              </w:rPr>
            </w:pPr>
            <w:r>
              <w:rPr>
                <w:rFonts w:ascii="Cambria" w:hAnsi="Cambria" w:cs="Calibri"/>
                <w:color w:val="FFFFFF"/>
              </w:rPr>
              <w:t>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Δίκαιο και Οικονομικά των ιδιωτικών συναλλαγών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  <w:tr w:rsidR="00E23608" w:rsidTr="00E2360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FFFFFF"/>
                <w:sz w:val="24"/>
                <w:szCs w:val="24"/>
              </w:rPr>
            </w:pPr>
            <w:r>
              <w:rPr>
                <w:rFonts w:ascii="Cambria" w:hAnsi="Cambria" w:cs="Calibri"/>
                <w:color w:val="FFFFFF"/>
              </w:rPr>
              <w:t>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Θεωρία Παιγνίων: Εργαλείο Ανάλυσης Νομικών και Οικονομικών προβλημάτων και της διεπαφής τους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</w:tbl>
    <w:p w:rsidR="004237CE" w:rsidRPr="00247C63" w:rsidRDefault="00E23608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Β΄ εξάμηνο</w:t>
      </w:r>
    </w:p>
    <w:tbl>
      <w:tblPr>
        <w:tblW w:w="8080" w:type="dxa"/>
        <w:tblInd w:w="-10" w:type="dxa"/>
        <w:tblLook w:val="04A0" w:firstRow="1" w:lastRow="0" w:firstColumn="1" w:lastColumn="0" w:noHBand="0" w:noVBand="1"/>
      </w:tblPr>
      <w:tblGrid>
        <w:gridCol w:w="349"/>
        <w:gridCol w:w="7731"/>
      </w:tblGrid>
      <w:tr w:rsidR="004237CE" w:rsidRPr="004237CE" w:rsidTr="00E23608">
        <w:trPr>
          <w:trHeight w:val="315"/>
        </w:trPr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center"/>
            <w:hideMark/>
          </w:tcPr>
          <w:p w:rsidR="004237CE" w:rsidRPr="00C6281B" w:rsidRDefault="004237CE" w:rsidP="00247C63">
            <w:pPr>
              <w:spacing w:after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</w:pPr>
            <w:r w:rsidRPr="00C6281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7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CE" w:rsidRPr="004237CE" w:rsidRDefault="004237CE" w:rsidP="00E23608">
            <w:pPr>
              <w:spacing w:after="0"/>
              <w:ind w:left="-748" w:firstLine="85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</w:pPr>
            <w:r w:rsidRPr="004237C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  <w:t>Μάθημα Περιορισμένης Επιλογής</w:t>
            </w:r>
          </w:p>
        </w:tc>
      </w:tr>
      <w:tr w:rsidR="004237CE" w:rsidRPr="004237CE" w:rsidTr="00E23608">
        <w:trPr>
          <w:trHeight w:val="315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center"/>
            <w:hideMark/>
          </w:tcPr>
          <w:p w:rsidR="004237CE" w:rsidRPr="00C6281B" w:rsidRDefault="004237CE" w:rsidP="00247C63">
            <w:pPr>
              <w:spacing w:after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</w:pPr>
            <w:r w:rsidRPr="00C6281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CE" w:rsidRPr="004237CE" w:rsidRDefault="004237CE" w:rsidP="00E23608">
            <w:pPr>
              <w:spacing w:after="0"/>
              <w:ind w:left="-748" w:firstLine="85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</w:pPr>
            <w:r w:rsidRPr="004237C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  <w:t>Μάθημα Περιορισμένης Επιλογής</w:t>
            </w:r>
          </w:p>
        </w:tc>
      </w:tr>
      <w:tr w:rsidR="004237CE" w:rsidRPr="004237CE" w:rsidTr="00E23608">
        <w:trPr>
          <w:trHeight w:val="315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center"/>
            <w:hideMark/>
          </w:tcPr>
          <w:p w:rsidR="004237CE" w:rsidRPr="00C6281B" w:rsidRDefault="004237CE" w:rsidP="00247C63">
            <w:pPr>
              <w:spacing w:after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</w:pPr>
            <w:r w:rsidRPr="00C6281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CE" w:rsidRPr="004237CE" w:rsidRDefault="004237CE" w:rsidP="00E23608">
            <w:pPr>
              <w:spacing w:after="0"/>
              <w:ind w:left="-748" w:firstLine="85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</w:pPr>
            <w:r w:rsidRPr="004237C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  <w:t>Μάθημα Επιλογής</w:t>
            </w:r>
          </w:p>
        </w:tc>
      </w:tr>
      <w:tr w:rsidR="004237CE" w:rsidRPr="004237CE" w:rsidTr="00E23608">
        <w:trPr>
          <w:trHeight w:val="330"/>
        </w:trPr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center"/>
            <w:hideMark/>
          </w:tcPr>
          <w:p w:rsidR="004237CE" w:rsidRPr="00C6281B" w:rsidRDefault="004237CE" w:rsidP="00247C63">
            <w:pPr>
              <w:spacing w:after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</w:pPr>
            <w:r w:rsidRPr="00C6281B"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7CE" w:rsidRPr="004237CE" w:rsidRDefault="004237CE" w:rsidP="00E23608">
            <w:pPr>
              <w:spacing w:after="0"/>
              <w:ind w:left="-748" w:firstLine="85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</w:pPr>
            <w:r w:rsidRPr="004237C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l-GR"/>
              </w:rPr>
              <w:t>Μάθημα Επιλογής</w:t>
            </w:r>
          </w:p>
        </w:tc>
      </w:tr>
    </w:tbl>
    <w:p w:rsidR="004237CE" w:rsidRPr="00247C63" w:rsidRDefault="004237CE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Μαθήματα Περιορισμένης Επιλογής (ΠΕ) </w:t>
      </w:r>
      <w:r w:rsidRPr="00247C63">
        <w:rPr>
          <w:rFonts w:ascii="Cambria" w:hAnsi="Cambria" w:cs="Times New Roman"/>
          <w:color w:val="FFFFFF" w:themeColor="background1"/>
          <w:sz w:val="28"/>
          <w:szCs w:val="28"/>
        </w:rPr>
        <w:t xml:space="preserve">(Επιλογή και παρακολούθηση 2 </w:t>
      </w:r>
      <w:r w:rsidR="006F3832">
        <w:rPr>
          <w:rFonts w:ascii="Cambria" w:hAnsi="Cambria" w:cs="Times New Roman"/>
          <w:color w:val="FFFFFF" w:themeColor="background1"/>
          <w:sz w:val="28"/>
          <w:szCs w:val="28"/>
        </w:rPr>
        <w:t xml:space="preserve">ή 3 </w:t>
      </w:r>
      <w:r w:rsidRPr="00247C63">
        <w:rPr>
          <w:rFonts w:ascii="Cambria" w:hAnsi="Cambria" w:cs="Times New Roman"/>
          <w:color w:val="FFFFFF" w:themeColor="background1"/>
          <w:sz w:val="28"/>
          <w:szCs w:val="28"/>
        </w:rPr>
        <w:t>από τα παρακάτω 4 μαθήματα</w:t>
      </w:r>
      <w:r w:rsidR="006F3832">
        <w:rPr>
          <w:rFonts w:ascii="Cambria" w:hAnsi="Cambria" w:cs="Times New Roman"/>
          <w:color w:val="FFFFFF" w:themeColor="background1"/>
          <w:sz w:val="28"/>
          <w:szCs w:val="28"/>
        </w:rPr>
        <w:t>, ανάλογα με την εξειδίκευση</w:t>
      </w:r>
      <w:r w:rsidRPr="00247C63">
        <w:rPr>
          <w:rFonts w:ascii="Cambria" w:hAnsi="Cambria" w:cs="Times New Roman"/>
          <w:color w:val="FFFFFF" w:themeColor="background1"/>
          <w:sz w:val="28"/>
          <w:szCs w:val="28"/>
        </w:rPr>
        <w:t>)</w:t>
      </w:r>
    </w:p>
    <w:tbl>
      <w:tblPr>
        <w:tblW w:w="8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535"/>
        <w:gridCol w:w="2100"/>
      </w:tblGrid>
      <w:tr w:rsidR="00E23608" w:rsidTr="00E23608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α/α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Μάθημα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ECTS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Τραπεζικό Δίκαιο και Οικονομικά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Εταιρική Διακυβέρνηση: Νομικές και Οικονομικές πτυχές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  <w:tr w:rsidR="00E23608" w:rsidTr="00E236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Περιβάλλον και Ενέργεια:  Νομικές και Οικονομικές πτυχές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  <w:tr w:rsidR="00E23608" w:rsidTr="00E2360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Προστασία του Ανταγωνισμού: Οικονομικό Υπόβαθρο και Νομικό Πλαίσιο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3608" w:rsidRDefault="00E23608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</w:t>
            </w:r>
          </w:p>
        </w:tc>
      </w:tr>
    </w:tbl>
    <w:p w:rsidR="004237CE" w:rsidRPr="00247C63" w:rsidRDefault="00E23608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lastRenderedPageBreak/>
        <w:t xml:space="preserve"> 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Μαθήματα Επιλογής</w:t>
      </w:r>
      <w:r w:rsidR="004237CE" w:rsidRPr="00247C63">
        <w:rPr>
          <w:rFonts w:ascii="Cambria" w:hAnsi="Cambria" w:cs="Times New Roman"/>
          <w:color w:val="FFFFFF" w:themeColor="background1"/>
          <w:sz w:val="28"/>
          <w:szCs w:val="28"/>
        </w:rPr>
        <w:t xml:space="preserve"> (Παρακολούθηση </w:t>
      </w:r>
      <w:r w:rsidR="006F3832">
        <w:rPr>
          <w:rFonts w:ascii="Cambria" w:hAnsi="Cambria" w:cs="Times New Roman"/>
          <w:color w:val="FFFFFF" w:themeColor="background1"/>
          <w:sz w:val="28"/>
          <w:szCs w:val="28"/>
        </w:rPr>
        <w:t xml:space="preserve">1 ή </w:t>
      </w:r>
      <w:r w:rsidR="004237CE" w:rsidRPr="00247C63">
        <w:rPr>
          <w:rFonts w:ascii="Cambria" w:hAnsi="Cambria" w:cs="Times New Roman"/>
          <w:color w:val="FFFFFF" w:themeColor="background1"/>
          <w:sz w:val="28"/>
          <w:szCs w:val="28"/>
        </w:rPr>
        <w:t>2 μαθημάτων από τον κάτωθι πίνακα</w:t>
      </w:r>
      <w:r w:rsidR="006F3832">
        <w:rPr>
          <w:rFonts w:ascii="Cambria" w:hAnsi="Cambria" w:cs="Times New Roman"/>
          <w:color w:val="FFFFFF" w:themeColor="background1"/>
          <w:sz w:val="28"/>
          <w:szCs w:val="28"/>
        </w:rPr>
        <w:t>, ανάλογα με την εξειδίκευση</w:t>
      </w:r>
      <w:r w:rsidR="004237CE" w:rsidRPr="00247C63">
        <w:rPr>
          <w:rFonts w:ascii="Cambria" w:hAnsi="Cambria" w:cs="Times New Roman"/>
          <w:color w:val="FFFFFF" w:themeColor="background1"/>
          <w:sz w:val="28"/>
          <w:szCs w:val="28"/>
        </w:rPr>
        <w:t>)</w:t>
      </w:r>
    </w:p>
    <w:tbl>
      <w:tblPr>
        <w:tblW w:w="8474" w:type="dxa"/>
        <w:tblLook w:val="04A0" w:firstRow="1" w:lastRow="0" w:firstColumn="1" w:lastColumn="0" w:noHBand="0" w:noVBand="1"/>
      </w:tblPr>
      <w:tblGrid>
        <w:gridCol w:w="600"/>
        <w:gridCol w:w="5774"/>
        <w:gridCol w:w="2100"/>
      </w:tblGrid>
      <w:tr w:rsidR="00E23608" w:rsidRPr="00E23608" w:rsidTr="00E2360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b/>
                <w:bCs/>
                <w:color w:val="000000"/>
                <w:lang w:eastAsia="el-GR"/>
              </w:rPr>
              <w:t>Μάθημα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b/>
                <w:bCs/>
                <w:color w:val="000000"/>
                <w:lang w:eastAsia="el-GR"/>
              </w:rPr>
              <w:t>ECTS</w:t>
            </w:r>
          </w:p>
        </w:tc>
      </w:tr>
      <w:tr w:rsidR="00E23608" w:rsidRPr="00E23608" w:rsidTr="00E2360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Ρυθμιστικό Πλαίσιο και Εποπτεία Τραπεζών: Νομικές και Οικονομικές Πτυχές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Χρηματοοικονομική και Δίκαιο της Κεφαλαιαγοράς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Νομικό Πλαίσιο και Οικονομική Ανάλυση των Εργασιακών Σχέσεων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Δίκαιο και Οικονομικά των Επιχειρήσεων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Πολιτικές και Νομικό Πλαίσιο του κλάδου της Ενέργειας στην ΕΕ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Νομικές και Οικονομικές διαστάσεις των Δραστηριοτήτων και Συναλλαγών στον τομέα της Ενέργειας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Νομικές και Οικονομικές πτυχές των Συγχωνεύσεων, των Εξαγορών και της Κοινής και Διασταυρούμενης Ιδιοκτησίας (Common και </w:t>
            </w:r>
            <w:proofErr w:type="spellStart"/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Crossownership</w:t>
            </w:r>
            <w:proofErr w:type="spellEnd"/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Σύγχρονα ζητήματα Προστασίας Ελεύθερου Ανταγωνισμού: Οικονομική και Νομική διάσταση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Δίκαιο και Οικονομικά της Ιδιωτικής και Κοινωνικής Ασφάλισης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Ποινική Καταστολή του Οικονομικού Εγκλήματος και της Διαφθοράς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Προστασία του Καταναλωτή: Οικονομικό Υπόβαθρο και Νομικό Πλαίσιο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Ρυθμιστικό Πλαίσιο και Οικονομική Ανάλυση των Νέων Τεχνολογιών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Διεθνείς Οργανισμοί και Διεθνές Εμπόριο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  <w:tr w:rsidR="00E23608" w:rsidRPr="00E23608" w:rsidTr="00E2360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Δίκαιο και Οικονομικά των Ξένων Επενδύσεων και της Χρηματοδότησης της Ανάπτυξης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7,5</w:t>
            </w:r>
          </w:p>
        </w:tc>
      </w:tr>
    </w:tbl>
    <w:p w:rsidR="004237CE" w:rsidRDefault="004237CE" w:rsidP="00247C63">
      <w:pPr>
        <w:shd w:val="clear" w:color="auto" w:fill="FFFFFF"/>
        <w:spacing w:after="161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4237CE" w:rsidRPr="00247C63" w:rsidRDefault="004237CE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Γ΄ εξάμηνο </w:t>
      </w:r>
    </w:p>
    <w:p w:rsidR="00270C00" w:rsidRPr="00E23608" w:rsidRDefault="00270C00" w:rsidP="00247C63">
      <w:pPr>
        <w:shd w:val="clear" w:color="auto" w:fill="FFFFFF"/>
        <w:spacing w:after="161"/>
        <w:jc w:val="both"/>
        <w:rPr>
          <w:rFonts w:ascii="Cambria" w:eastAsia="Times New Roman" w:hAnsi="Cambria" w:cs="Times New Roman"/>
          <w:color w:val="333333"/>
          <w:sz w:val="24"/>
          <w:szCs w:val="24"/>
          <w:lang w:val="en-US" w:eastAsia="el-GR"/>
        </w:rPr>
      </w:pPr>
    </w:p>
    <w:p w:rsidR="006125D3" w:rsidRDefault="00B25A5A" w:rsidP="00247C63">
      <w:pPr>
        <w:shd w:val="clear" w:color="auto" w:fill="FFFFFF"/>
        <w:spacing w:after="161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</w:t>
      </w:r>
      <w:r w:rsidR="006125D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το τρίτο εξάμηνο </w:t>
      </w:r>
      <w:r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γίνεται η συγγραφή της</w:t>
      </w:r>
      <w:r w:rsidR="006125D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Διπλωματική</w:t>
      </w:r>
      <w:r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ς</w:t>
      </w:r>
      <w:r w:rsidR="006125D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Εργασία</w:t>
      </w:r>
      <w:r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ς</w:t>
      </w:r>
      <w:r w:rsidR="006125D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σε θέμα που επιλέγεται σε συνεργασία με επιβλέπον μέλος ΔΕΠ. Η Διπλωματική Εργασία κρίνεται και βαθμολογείται από τρία μέλη ΔΕΠ, ένα εκ των οποίων είναι ο επιβλέπων</w:t>
      </w:r>
      <w:r w:rsidR="00642096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6374"/>
        <w:gridCol w:w="1985"/>
      </w:tblGrid>
      <w:tr w:rsidR="00E23608" w:rsidRPr="00E23608" w:rsidTr="00E23608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Διπλωματική Εργασία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23608" w:rsidRPr="00E23608" w:rsidRDefault="00E23608" w:rsidP="00E236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E23608">
              <w:rPr>
                <w:rFonts w:ascii="Cambria" w:eastAsia="Times New Roman" w:hAnsi="Cambria" w:cs="Calibri"/>
                <w:color w:val="000000"/>
                <w:lang w:eastAsia="el-GR"/>
              </w:rPr>
              <w:t>30 ECTS</w:t>
            </w:r>
          </w:p>
        </w:tc>
      </w:tr>
    </w:tbl>
    <w:p w:rsidR="00E23608" w:rsidRDefault="00E23608" w:rsidP="00247C63">
      <w:pPr>
        <w:shd w:val="clear" w:color="auto" w:fill="FFFFFF"/>
        <w:spacing w:after="161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270C00" w:rsidRPr="00247C63" w:rsidRDefault="00270C00" w:rsidP="00247C63">
      <w:pPr>
        <w:shd w:val="clear" w:color="auto" w:fill="FFFFFF"/>
        <w:spacing w:after="161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F607B3" w:rsidRPr="00247C63" w:rsidRDefault="00892452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lastRenderedPageBreak/>
        <w:t>Υποψηφιότητες</w:t>
      </w:r>
      <w:r w:rsidR="004237CE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</w:t>
      </w:r>
    </w:p>
    <w:p w:rsidR="00892452" w:rsidRPr="00247C63" w:rsidRDefault="000B33AF" w:rsidP="00247C63">
      <w:pPr>
        <w:shd w:val="clear" w:color="auto" w:fill="FFFFFF"/>
        <w:spacing w:after="161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Στο Δ.Π.Μ.Σ. Δίκαιο και Οικονομικά</w:t>
      </w:r>
      <w:r w:rsidR="00892452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γίνονται δεκτοί πτυχιούχοι 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Νομικών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, 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Οικονομικών Σχολών και 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Σχολών με συναφή γνωστικά αντικείμενα, όπως Διοίκηση Επιχειρήσεων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, Διεθνών Σπουδών και Πολιτικών Επιστημών, Πανεπιστημίων της ημεδαπής ή ομοταγών αναγνωρισμένων ιδρυμάτων της αλλοδαπής</w:t>
      </w:r>
      <w:r w:rsidR="00CD0F94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,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καθώς και πτυχιούχοι τμημάτων </w:t>
      </w:r>
      <w:r w:rsidR="00B10482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πρώην 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Τ</w:t>
      </w:r>
      <w:r w:rsidR="00B10482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Ε</w:t>
      </w:r>
      <w:r w:rsidR="00B10482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Ι</w:t>
      </w:r>
      <w:r w:rsidR="00B10482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συναφούς γνωστικού αντικειμένου. Μετά από απόφαση της </w:t>
      </w:r>
      <w:r w:rsidR="00B10482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Επιτροπής Προγράμματος Σπουδών του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Δ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Π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Μ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B10482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,</w:t>
      </w:r>
      <w:r w:rsidR="00FD4E8C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δύνανται επίσης να εγγραφούν πτυχιούχοι άλλων σχολών πανεπιστημιακών ιδρυμάτων της ημεδαπής και ομοταγών αναγνωρισμένων πανεπιστημιακών ιδρυμάτων της αλλοδαπής.</w:t>
      </w:r>
    </w:p>
    <w:p w:rsidR="00CB7BC7" w:rsidRDefault="00CB7BC7" w:rsidP="00247C63">
      <w:pPr>
        <w:shd w:val="clear" w:color="auto" w:fill="FFFFFF"/>
        <w:spacing w:after="161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247C63" w:rsidRPr="00247C63" w:rsidRDefault="0084093A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>
        <w:rPr>
          <w:rFonts w:ascii="Cambria" w:hAnsi="Cambria" w:cs="Times New Roman"/>
          <w:b/>
          <w:color w:val="FFFFFF" w:themeColor="background1"/>
          <w:sz w:val="28"/>
          <w:szCs w:val="28"/>
        </w:rPr>
        <w:t>Δικαιολογητικά Αιτήσεων</w:t>
      </w:r>
      <w:r w:rsidR="00247C63"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</w:t>
      </w:r>
      <w:r>
        <w:rPr>
          <w:rFonts w:ascii="Cambria" w:hAnsi="Cambria" w:cs="Times New Roman"/>
          <w:b/>
          <w:color w:val="FFFFFF" w:themeColor="background1"/>
          <w:sz w:val="28"/>
          <w:szCs w:val="28"/>
        </w:rPr>
        <w:t>Εισαγωγής</w:t>
      </w:r>
    </w:p>
    <w:p w:rsidR="00EE082A" w:rsidRPr="00247C63" w:rsidRDefault="00EE082A" w:rsidP="00247C63">
      <w:pPr>
        <w:shd w:val="clear" w:color="auto" w:fill="FFFFFF"/>
        <w:spacing w:after="161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Τα </w:t>
      </w:r>
      <w:r w:rsidRPr="00247C63">
        <w:rPr>
          <w:rFonts w:ascii="Cambria" w:eastAsia="Times New Roman" w:hAnsi="Cambria" w:cs="Times New Roman"/>
          <w:b/>
          <w:color w:val="333333"/>
          <w:sz w:val="24"/>
          <w:szCs w:val="24"/>
          <w:lang w:eastAsia="el-GR"/>
        </w:rPr>
        <w:t>απαραίτητα δικαιολογητικά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που θα πρέπει να καταθέσουν οι υποψήφιοι για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το Δ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Π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Μ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Δίκαιο και Οικονομικά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είναι: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Αίτηση συμμετοχής στο Δ.Π.Μ.Σ.</w:t>
      </w:r>
      <w:r w:rsidR="00FC5FB7" w:rsidRPr="00FC5FB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(</w:t>
      </w:r>
      <w:r w:rsidR="00FC5FB7">
        <w:rPr>
          <w:rFonts w:ascii="Cambria" w:eastAsia="Times New Roman" w:hAnsi="Cambria" w:cs="Times New Roman"/>
          <w:sz w:val="24"/>
          <w:szCs w:val="24"/>
          <w:lang w:val="en-US" w:eastAsia="el-GR"/>
        </w:rPr>
        <w:t>google</w:t>
      </w:r>
      <w:r w:rsidR="00FC5FB7" w:rsidRPr="00FC5FB7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r w:rsidR="00FC5FB7">
        <w:rPr>
          <w:rFonts w:ascii="Cambria" w:eastAsia="Times New Roman" w:hAnsi="Cambria" w:cs="Times New Roman"/>
          <w:sz w:val="24"/>
          <w:szCs w:val="24"/>
          <w:lang w:val="en-US" w:eastAsia="el-GR"/>
        </w:rPr>
        <w:t>form</w:t>
      </w:r>
      <w:r w:rsidR="00FC5FB7">
        <w:rPr>
          <w:rFonts w:ascii="Cambria" w:eastAsia="Times New Roman" w:hAnsi="Cambria" w:cs="Times New Roman"/>
          <w:sz w:val="24"/>
          <w:szCs w:val="24"/>
          <w:lang w:eastAsia="el-GR"/>
        </w:rPr>
        <w:t>)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.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Αντίγραφο πτυχίου / διπλώματος. 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Πιστοποιητικό σπουδών με αναλυτική βαθμολογία όλων των προπτυχιακών μαθημάτων, στο οποίο αναγράφεται και ο βαθμός του πτυχίου. Εναλλακτικά μπορεί να κατατεθεί και το Παράρτημα Διπλώματος.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Βιογραφικό σημείωμα στο οποίο αναφέρονται αναλυτικά οι σπουδές, η επαγγελματική εμπειρία, καθώς και η επιστημονική και κοινωνική δραστηριότητα του/της υποψηφίου/-</w:t>
      </w:r>
      <w:r w:rsidR="00247C63" w:rsidRPr="00247C63">
        <w:rPr>
          <w:rFonts w:ascii="Cambria" w:eastAsia="Times New Roman" w:hAnsi="Cambria" w:cs="Times New Roman"/>
          <w:sz w:val="24"/>
          <w:szCs w:val="24"/>
          <w:lang w:eastAsia="el-GR"/>
        </w:rPr>
        <w:t>ας.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Πιστοποιητικό γνώσης αγγλικής γλώσσας: Απαιτείται </w:t>
      </w:r>
      <w:r w:rsidR="00247C63" w:rsidRPr="00247C63">
        <w:rPr>
          <w:rFonts w:ascii="Cambria" w:eastAsia="Times New Roman" w:hAnsi="Cambria" w:cs="Times New Roman"/>
          <w:sz w:val="24"/>
          <w:szCs w:val="24"/>
          <w:lang w:eastAsia="el-GR"/>
        </w:rPr>
        <w:t>(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α) αποδεικτικό γνώσης της αγγλικής γλώσσας επιπέδου Β2 (καλή γνώση) ή ανώτερο, σύμφωνα με το σύστημα του Συμβουλίου της Ευρώπης, το οποίο γίνεται αποδεκτό από τον Α.Σ.Ε.Π., ή </w:t>
      </w:r>
      <w:r w:rsidR="00247C63" w:rsidRPr="00247C63">
        <w:rPr>
          <w:rFonts w:ascii="Cambria" w:eastAsia="Times New Roman" w:hAnsi="Cambria" w:cs="Times New Roman"/>
          <w:sz w:val="24"/>
          <w:szCs w:val="24"/>
          <w:lang w:eastAsia="el-GR"/>
        </w:rPr>
        <w:t>(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β) TOEFL με τουλάχιστον 87 μονάδες στο Internet-</w:t>
      </w:r>
      <w:proofErr w:type="spellStart"/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based</w:t>
      </w:r>
      <w:proofErr w:type="spellEnd"/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test</w:t>
      </w:r>
      <w:proofErr w:type="spellEnd"/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, ή </w:t>
      </w:r>
      <w:r w:rsidR="00247C63" w:rsidRPr="00247C63">
        <w:rPr>
          <w:rFonts w:ascii="Cambria" w:eastAsia="Times New Roman" w:hAnsi="Cambria" w:cs="Times New Roman"/>
          <w:sz w:val="24"/>
          <w:szCs w:val="24"/>
          <w:lang w:eastAsia="el-GR"/>
        </w:rPr>
        <w:t>(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γ) Απολυτήριο δευτεροβάθμιας ή Πτυχίο τριτοβάθμιας εκπαίδευσης από Αγγλόφωνο Πανεπιστήμιο (το οποίο ανήκει στον κατάλογο των αλλοδαπών ιδρυμάτων που τηρεί και επικαιροποιεί ο Δ.Ο.Α.Τ.Α.Π), ή </w:t>
      </w:r>
      <w:r w:rsidR="00247C63" w:rsidRPr="00247C63">
        <w:rPr>
          <w:rFonts w:ascii="Cambria" w:eastAsia="Times New Roman" w:hAnsi="Cambria" w:cs="Times New Roman"/>
          <w:sz w:val="24"/>
          <w:szCs w:val="24"/>
          <w:lang w:eastAsia="el-GR"/>
        </w:rPr>
        <w:t>(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δ) Πτυχίο Αγγλικής Φιλολογίας. 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Σε περίπτωση γνώσης και δεύτερης ξένης γλώσσας υποβάλλεται επίσης το αντίστοιχο πιστοποιητικό. 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Οι αλλοδαπές/-</w:t>
      </w:r>
      <w:proofErr w:type="spellStart"/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οί</w:t>
      </w:r>
      <w:proofErr w:type="spellEnd"/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καταθέτουν πιστοποιητικό επάρκειας της ελληνικής γλώσσας από Σχολείο Νέας Ελληνικής Γλώσσας ενός Α.Ε.Ι. ή ελληνικό Απολυτήριο δευτεροβάθμιας εκπαίδευσης ή πτυχίο ελληνόγλωσσου Πανεπιστημιακού Τμήματος. </w:t>
      </w:r>
    </w:p>
    <w:p w:rsidR="00AE33E7" w:rsidRPr="00247C63" w:rsidRDefault="00AE33E7" w:rsidP="00247C63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Δύο συστατικές επιστολές, κατά προτίμηση από μέλη Δ.Ε.Π.. Οι συστατικές επιστολές είναι εμπιστευτικές και δεν επιστρέφονται.</w:t>
      </w:r>
    </w:p>
    <w:p w:rsidR="00035EE4" w:rsidRPr="00035EE4" w:rsidRDefault="00247C63" w:rsidP="00727BED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Cambria" w:eastAsia="Times New Roman" w:hAnsi="Cambria" w:cs="Times New Roman"/>
          <w:b/>
          <w:sz w:val="24"/>
          <w:szCs w:val="24"/>
          <w:lang w:eastAsia="el-GR"/>
        </w:rPr>
      </w:pPr>
      <w:r w:rsidRPr="00035EE4">
        <w:rPr>
          <w:rFonts w:ascii="Cambria" w:eastAsia="Times New Roman" w:hAnsi="Cambria" w:cs="Times New Roman"/>
          <w:sz w:val="24"/>
          <w:szCs w:val="24"/>
          <w:lang w:eastAsia="el-GR"/>
        </w:rPr>
        <w:lastRenderedPageBreak/>
        <w:t>Αντίγραφο</w:t>
      </w:r>
      <w:r w:rsidR="00AE33E7" w:rsidRPr="00035EE4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της αστυνομικής ταυτότητας.</w:t>
      </w:r>
    </w:p>
    <w:p w:rsidR="00AE33E7" w:rsidRPr="00035EE4" w:rsidRDefault="00AE33E7" w:rsidP="00035EE4">
      <w:pPr>
        <w:pStyle w:val="a3"/>
        <w:spacing w:after="0"/>
        <w:ind w:left="0"/>
        <w:jc w:val="both"/>
        <w:rPr>
          <w:rFonts w:ascii="Cambria" w:eastAsia="Times New Roman" w:hAnsi="Cambria" w:cs="Times New Roman"/>
          <w:b/>
          <w:sz w:val="24"/>
          <w:szCs w:val="24"/>
          <w:lang w:eastAsia="el-GR"/>
        </w:rPr>
      </w:pPr>
      <w:r w:rsidRPr="00035EE4">
        <w:rPr>
          <w:rFonts w:ascii="Cambria" w:eastAsia="Times New Roman" w:hAnsi="Cambria" w:cs="Times New Roman"/>
          <w:b/>
          <w:sz w:val="24"/>
          <w:szCs w:val="24"/>
          <w:lang w:eastAsia="el-GR"/>
        </w:rPr>
        <w:t>Πρόσθετα δικαιολογητικά</w:t>
      </w:r>
    </w:p>
    <w:p w:rsidR="00AE33E7" w:rsidRPr="00247C63" w:rsidRDefault="00AE33E7" w:rsidP="00247C63">
      <w:pPr>
        <w:pStyle w:val="a3"/>
        <w:numPr>
          <w:ilvl w:val="0"/>
          <w:numId w:val="16"/>
        </w:numPr>
        <w:spacing w:after="12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Υπόμνημα μέχρι χ</w:t>
      </w:r>
      <w:r w:rsidR="00FC5FB7">
        <w:rPr>
          <w:rFonts w:ascii="Cambria" w:eastAsia="Times New Roman" w:hAnsi="Cambria" w:cs="Times New Roman"/>
          <w:sz w:val="24"/>
          <w:szCs w:val="24"/>
          <w:lang w:eastAsia="el-GR"/>
        </w:rPr>
        <w:t>ίλιες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(1000) λέξε</w:t>
      </w:r>
      <w:r w:rsidR="00FC5FB7">
        <w:rPr>
          <w:rFonts w:ascii="Cambria" w:eastAsia="Times New Roman" w:hAnsi="Cambria" w:cs="Times New Roman"/>
          <w:sz w:val="24"/>
          <w:szCs w:val="24"/>
          <w:lang w:eastAsia="el-GR"/>
        </w:rPr>
        <w:t>ις</w:t>
      </w: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, στο οποίο αναφέρονται τα επιστημονικά ενδιαφέροντα του/της υποψηφίου/-ας και οι λόγοι για τους οποίους ενδιαφέρεται να ακολουθήσει τις σπουδές του Δ.Π.Μ.Σ..</w:t>
      </w:r>
    </w:p>
    <w:p w:rsidR="00AE33E7" w:rsidRPr="00247C63" w:rsidRDefault="00AE33E7" w:rsidP="00247C63">
      <w:pPr>
        <w:pStyle w:val="a3"/>
        <w:numPr>
          <w:ilvl w:val="0"/>
          <w:numId w:val="16"/>
        </w:numPr>
        <w:spacing w:after="12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Αποδεικτικά άλλων προσόντων όπως πρόσθετα πτυχία ή μεταπτυχιακοί τίτλοι του/της υποψηφίου/-ας, επιπλέον ξένες γλώσσες.</w:t>
      </w:r>
    </w:p>
    <w:p w:rsidR="00AE33E7" w:rsidRPr="00247C63" w:rsidRDefault="00AE33E7" w:rsidP="00247C63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sz w:val="24"/>
          <w:szCs w:val="24"/>
          <w:lang w:eastAsia="el-GR"/>
        </w:rPr>
        <w:t>Αποδεικτικά για τυχόν ερευνητική και συγγραφική δραστηριότητα, για συμμετοχή σε εκπαιδευτικά προγράμματα κινητικότητας σπουδαστών, καθώς και για επαγγελματική εμπειρία συναφή προς το πεδίο ειδίκευσης.</w:t>
      </w:r>
    </w:p>
    <w:p w:rsidR="00AE33E7" w:rsidRPr="00247C63" w:rsidRDefault="00AE33E7" w:rsidP="00247C63">
      <w:pPr>
        <w:shd w:val="clear" w:color="auto" w:fill="FFFFFF"/>
        <w:spacing w:after="161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bookmarkStart w:id="0" w:name="_GoBack"/>
      <w:bookmarkEnd w:id="0"/>
    </w:p>
    <w:p w:rsidR="00247C63" w:rsidRPr="00247C63" w:rsidRDefault="00247C63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Αξιολόγηση</w:t>
      </w:r>
      <w:r w:rsidR="0084093A">
        <w:rPr>
          <w:rFonts w:ascii="Cambria" w:hAnsi="Cambria" w:cs="Times New Roman"/>
          <w:b/>
          <w:color w:val="FFFFFF" w:themeColor="background1"/>
          <w:sz w:val="28"/>
          <w:szCs w:val="28"/>
        </w:rPr>
        <w:t xml:space="preserve"> Αιτήσεων Εισαγωγής</w:t>
      </w:r>
    </w:p>
    <w:p w:rsidR="00EE082A" w:rsidRPr="00247C63" w:rsidRDefault="00642096" w:rsidP="00247C63">
      <w:pPr>
        <w:shd w:val="clear" w:color="auto" w:fill="FFFFFF"/>
        <w:spacing w:after="161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Οι αιτήσεις </w:t>
      </w:r>
      <w:r w:rsidRPr="00247C63">
        <w:rPr>
          <w:rFonts w:ascii="Cambria" w:eastAsia="Times New Roman" w:hAnsi="Cambria" w:cs="Times New Roman"/>
          <w:b/>
          <w:color w:val="333333"/>
          <w:sz w:val="24"/>
          <w:szCs w:val="24"/>
          <w:lang w:eastAsia="el-GR"/>
        </w:rPr>
        <w:t>αξιολογούνται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με βάση τα παρακάτω: </w:t>
      </w:r>
    </w:p>
    <w:p w:rsidR="00247C63" w:rsidRPr="00247C63" w:rsidRDefault="00EE082A" w:rsidP="00247C63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Γενικός βαθμός πτυχίου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(μέγιστο όριο 32</w:t>
      </w:r>
      <w:r w:rsidR="00642096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μόρια)</w:t>
      </w:r>
      <w:r w:rsidR="00247C6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. </w:t>
      </w:r>
    </w:p>
    <w:p w:rsidR="00247C63" w:rsidRPr="00247C63" w:rsidRDefault="00EE082A" w:rsidP="00247C63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Σχετικότητα πτυχίου με το αντικείμενο του Δ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Π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Μ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Σ</w:t>
      </w:r>
      <w:r w:rsidR="004237CE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(μέγιστο όριο 28</w:t>
      </w:r>
      <w:r w:rsidR="00247C6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μόρια).</w:t>
      </w:r>
    </w:p>
    <w:p w:rsidR="002772A7" w:rsidRPr="0084093A" w:rsidRDefault="00EE082A" w:rsidP="00247C63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Προηγούμενη ερευνητική δραστηριότητα, συμμετοχή σε εκπαιδευτικά </w:t>
      </w:r>
      <w:r w:rsidRPr="0084093A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προγράμματα κινητικότητας σπουδαστών</w:t>
      </w:r>
      <w:r w:rsidR="002772A7" w:rsidRPr="0084093A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 (μέγιστο όριο </w:t>
      </w:r>
      <w:r w:rsidR="008A200A" w:rsidRPr="0084093A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1</w:t>
      </w:r>
      <w:r w:rsidR="002772A7" w:rsidRPr="0084093A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0 μόρια)</w:t>
      </w:r>
      <w:r w:rsidR="00247C63" w:rsidRPr="0084093A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</w:p>
    <w:p w:rsidR="008A200A" w:rsidRPr="00247C63" w:rsidRDefault="008A200A" w:rsidP="00247C63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Ενδεχόμενη επαγγελματική εμπειρία </w:t>
      </w:r>
      <w:r w:rsidR="00F9598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(μέγιστο όριο 1</w:t>
      </w: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0 μόρια)</w:t>
      </w:r>
      <w:r w:rsidR="00247C63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</w:p>
    <w:p w:rsidR="00EE082A" w:rsidRDefault="00F95983" w:rsidP="00247C63">
      <w:pPr>
        <w:pStyle w:val="a3"/>
        <w:numPr>
          <w:ilvl w:val="0"/>
          <w:numId w:val="18"/>
        </w:numPr>
        <w:shd w:val="clear" w:color="auto" w:fill="FFFFFF"/>
        <w:spacing w:after="0"/>
        <w:ind w:left="0" w:firstLine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  <w:r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Π</w:t>
      </w:r>
      <w:r w:rsidR="002772A7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ροφορική </w:t>
      </w:r>
      <w:r w:rsidR="00642096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 xml:space="preserve">συνέντευξη </w:t>
      </w:r>
      <w:r w:rsidR="002772A7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(μέγιστο όριο 20 μόρια)</w:t>
      </w:r>
      <w:r w:rsidR="00642096" w:rsidRPr="00247C63"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  <w:t>.</w:t>
      </w:r>
    </w:p>
    <w:p w:rsidR="00270C00" w:rsidRPr="00270C00" w:rsidRDefault="00270C00" w:rsidP="00270C00">
      <w:pPr>
        <w:shd w:val="clear" w:color="auto" w:fill="FFFFFF"/>
        <w:spacing w:after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270C00" w:rsidRDefault="00270C00" w:rsidP="00270C00">
      <w:pPr>
        <w:shd w:val="clear" w:color="auto" w:fill="FFFFFF"/>
        <w:spacing w:after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270C00" w:rsidRPr="00247C63" w:rsidRDefault="00270C00" w:rsidP="00270C00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>
        <w:rPr>
          <w:rFonts w:ascii="Cambria" w:hAnsi="Cambria" w:cs="Times New Roman"/>
          <w:b/>
          <w:color w:val="FFFFFF" w:themeColor="background1"/>
          <w:sz w:val="28"/>
          <w:szCs w:val="28"/>
        </w:rPr>
        <w:t>Μέσα Κοινωνικής Δικτύωσης</w:t>
      </w:r>
    </w:p>
    <w:p w:rsidR="00270C00" w:rsidRPr="0084093A" w:rsidRDefault="00270C00" w:rsidP="00FF5B73">
      <w:pPr>
        <w:pStyle w:val="a3"/>
        <w:numPr>
          <w:ilvl w:val="0"/>
          <w:numId w:val="23"/>
        </w:numPr>
        <w:spacing w:after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</w:pPr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Facebook: </w:t>
      </w:r>
      <w:hyperlink r:id="rId13" w:tgtFrame="_blank" w:history="1">
        <w:r w:rsidRPr="0084093A">
          <w:rPr>
            <w:rStyle w:val="-"/>
            <w:rFonts w:asciiTheme="majorHAnsi" w:hAnsiTheme="majorHAnsi"/>
            <w:lang w:val="en-US"/>
          </w:rPr>
          <w:t>https</w:t>
        </w:r>
        <w:r w:rsidRPr="00E9003D">
          <w:rPr>
            <w:rStyle w:val="-"/>
            <w:rFonts w:asciiTheme="majorHAnsi" w:hAnsiTheme="majorHAnsi"/>
          </w:rPr>
          <w:t>://</w:t>
        </w:r>
        <w:r w:rsidRPr="0084093A">
          <w:rPr>
            <w:rStyle w:val="-"/>
            <w:rFonts w:asciiTheme="majorHAnsi" w:hAnsiTheme="majorHAnsi"/>
            <w:lang w:val="en-US"/>
          </w:rPr>
          <w:t>www</w:t>
        </w:r>
        <w:r w:rsidRPr="00E9003D">
          <w:rPr>
            <w:rStyle w:val="-"/>
            <w:rFonts w:asciiTheme="majorHAnsi" w:hAnsiTheme="majorHAnsi"/>
          </w:rPr>
          <w:t>.</w:t>
        </w:r>
        <w:proofErr w:type="spellStart"/>
        <w:r w:rsidRPr="0084093A">
          <w:rPr>
            <w:rStyle w:val="-"/>
            <w:rFonts w:asciiTheme="majorHAnsi" w:hAnsiTheme="majorHAnsi"/>
            <w:lang w:val="en-US"/>
          </w:rPr>
          <w:t>facebook</w:t>
        </w:r>
        <w:proofErr w:type="spellEnd"/>
        <w:r w:rsidRPr="00E9003D">
          <w:rPr>
            <w:rStyle w:val="-"/>
            <w:rFonts w:asciiTheme="majorHAnsi" w:hAnsiTheme="majorHAnsi"/>
          </w:rPr>
          <w:t>.</w:t>
        </w:r>
        <w:r w:rsidRPr="0084093A">
          <w:rPr>
            <w:rStyle w:val="-"/>
            <w:rFonts w:asciiTheme="majorHAnsi" w:hAnsiTheme="majorHAnsi"/>
            <w:lang w:val="en-US"/>
          </w:rPr>
          <w:t>com</w:t>
        </w:r>
        <w:r w:rsidRPr="00E9003D">
          <w:rPr>
            <w:rStyle w:val="-"/>
            <w:rFonts w:asciiTheme="majorHAnsi" w:hAnsiTheme="majorHAnsi"/>
          </w:rPr>
          <w:t>/</w:t>
        </w:r>
        <w:r w:rsidRPr="0084093A">
          <w:rPr>
            <w:rStyle w:val="-"/>
            <w:rFonts w:asciiTheme="majorHAnsi" w:hAnsiTheme="majorHAnsi"/>
            <w:lang w:val="en-US"/>
          </w:rPr>
          <w:t>profile</w:t>
        </w:r>
        <w:r w:rsidRPr="00E9003D">
          <w:rPr>
            <w:rStyle w:val="-"/>
            <w:rFonts w:asciiTheme="majorHAnsi" w:hAnsiTheme="majorHAnsi"/>
          </w:rPr>
          <w:t>.</w:t>
        </w:r>
        <w:proofErr w:type="spellStart"/>
        <w:r w:rsidRPr="0084093A">
          <w:rPr>
            <w:rStyle w:val="-"/>
            <w:rFonts w:asciiTheme="majorHAnsi" w:hAnsiTheme="majorHAnsi"/>
            <w:lang w:val="en-US"/>
          </w:rPr>
          <w:t>php</w:t>
        </w:r>
        <w:proofErr w:type="spellEnd"/>
        <w:r w:rsidRPr="00E9003D">
          <w:rPr>
            <w:rStyle w:val="-"/>
            <w:rFonts w:asciiTheme="majorHAnsi" w:hAnsiTheme="majorHAnsi"/>
          </w:rPr>
          <w:t>?</w:t>
        </w:r>
        <w:r w:rsidRPr="0084093A">
          <w:rPr>
            <w:rStyle w:val="-"/>
            <w:rFonts w:asciiTheme="majorHAnsi" w:hAnsiTheme="majorHAnsi"/>
            <w:lang w:val="en-US"/>
          </w:rPr>
          <w:t>id</w:t>
        </w:r>
        <w:r w:rsidRPr="00E9003D">
          <w:rPr>
            <w:rStyle w:val="-"/>
            <w:rFonts w:asciiTheme="majorHAnsi" w:hAnsiTheme="majorHAnsi"/>
          </w:rPr>
          <w:t>=100067537051368</w:t>
        </w:r>
      </w:hyperlink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 </w:t>
      </w:r>
    </w:p>
    <w:p w:rsidR="00270C00" w:rsidRPr="0084093A" w:rsidRDefault="00270C00" w:rsidP="00FF5B73">
      <w:pPr>
        <w:pStyle w:val="a3"/>
        <w:numPr>
          <w:ilvl w:val="0"/>
          <w:numId w:val="23"/>
        </w:numPr>
        <w:spacing w:after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</w:pPr>
      <w:proofErr w:type="spellStart"/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Linkedin</w:t>
      </w:r>
      <w:proofErr w:type="spellEnd"/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: </w:t>
      </w:r>
      <w:hyperlink r:id="rId14" w:tgtFrame="_blank" w:history="1">
        <w:r w:rsidRPr="00E9003D">
          <w:rPr>
            <w:rStyle w:val="-"/>
            <w:rFonts w:asciiTheme="majorHAnsi" w:hAnsiTheme="majorHAnsi"/>
          </w:rPr>
          <w:t xml:space="preserve">Διιδρυματικό Πρόγραμμα Μεταπτυχιακών Σπουδών «Δίκαιο και Οικονομικά» στο </w:t>
        </w:r>
        <w:r w:rsidRPr="0084093A">
          <w:rPr>
            <w:rStyle w:val="-"/>
            <w:rFonts w:asciiTheme="majorHAnsi" w:hAnsiTheme="majorHAnsi"/>
            <w:lang w:val="en-US"/>
          </w:rPr>
          <w:t>LinkedIn</w:t>
        </w:r>
      </w:hyperlink>
    </w:p>
    <w:p w:rsidR="00270C00" w:rsidRPr="0084093A" w:rsidRDefault="00270C00" w:rsidP="00FF5B73">
      <w:pPr>
        <w:pStyle w:val="a3"/>
        <w:numPr>
          <w:ilvl w:val="0"/>
          <w:numId w:val="23"/>
        </w:numPr>
        <w:spacing w:after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</w:pPr>
      <w:proofErr w:type="spellStart"/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Instagram</w:t>
      </w:r>
      <w:proofErr w:type="spellEnd"/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: </w:t>
      </w:r>
      <w:hyperlink r:id="rId15" w:tgtFrame="_blank" w:history="1">
        <w:r w:rsidRPr="0084093A">
          <w:rPr>
            <w:rStyle w:val="-"/>
            <w:rFonts w:asciiTheme="majorHAnsi" w:hAnsiTheme="majorHAnsi"/>
            <w:lang w:val="en-US"/>
          </w:rPr>
          <w:t>https</w:t>
        </w:r>
        <w:r w:rsidRPr="00E9003D">
          <w:rPr>
            <w:rStyle w:val="-"/>
            <w:rFonts w:asciiTheme="majorHAnsi" w:hAnsiTheme="majorHAnsi"/>
          </w:rPr>
          <w:t>://</w:t>
        </w:r>
        <w:r w:rsidRPr="0084093A">
          <w:rPr>
            <w:rStyle w:val="-"/>
            <w:rFonts w:asciiTheme="majorHAnsi" w:hAnsiTheme="majorHAnsi"/>
            <w:lang w:val="en-US"/>
          </w:rPr>
          <w:t>www</w:t>
        </w:r>
        <w:r w:rsidRPr="00E9003D">
          <w:rPr>
            <w:rStyle w:val="-"/>
            <w:rFonts w:asciiTheme="majorHAnsi" w:hAnsiTheme="majorHAnsi"/>
          </w:rPr>
          <w:t>.</w:t>
        </w:r>
        <w:proofErr w:type="spellStart"/>
        <w:r w:rsidRPr="0084093A">
          <w:rPr>
            <w:rStyle w:val="-"/>
            <w:rFonts w:asciiTheme="majorHAnsi" w:hAnsiTheme="majorHAnsi"/>
            <w:lang w:val="en-US"/>
          </w:rPr>
          <w:t>instagram</w:t>
        </w:r>
        <w:proofErr w:type="spellEnd"/>
        <w:r w:rsidRPr="00E9003D">
          <w:rPr>
            <w:rStyle w:val="-"/>
            <w:rFonts w:asciiTheme="majorHAnsi" w:hAnsiTheme="majorHAnsi"/>
          </w:rPr>
          <w:t>.</w:t>
        </w:r>
        <w:r w:rsidRPr="0084093A">
          <w:rPr>
            <w:rStyle w:val="-"/>
            <w:rFonts w:asciiTheme="majorHAnsi" w:hAnsiTheme="majorHAnsi"/>
            <w:lang w:val="en-US"/>
          </w:rPr>
          <w:t>com</w:t>
        </w:r>
        <w:r w:rsidRPr="00E9003D">
          <w:rPr>
            <w:rStyle w:val="-"/>
            <w:rFonts w:asciiTheme="majorHAnsi" w:hAnsiTheme="majorHAnsi"/>
          </w:rPr>
          <w:t>/</w:t>
        </w:r>
        <w:r w:rsidRPr="0084093A">
          <w:rPr>
            <w:rStyle w:val="-"/>
            <w:rFonts w:asciiTheme="majorHAnsi" w:hAnsiTheme="majorHAnsi"/>
            <w:lang w:val="en-US"/>
          </w:rPr>
          <w:t>master</w:t>
        </w:r>
        <w:r w:rsidRPr="00E9003D">
          <w:rPr>
            <w:rStyle w:val="-"/>
            <w:rFonts w:asciiTheme="majorHAnsi" w:hAnsiTheme="majorHAnsi"/>
          </w:rPr>
          <w:t>_</w:t>
        </w:r>
        <w:r w:rsidRPr="0084093A">
          <w:rPr>
            <w:rStyle w:val="-"/>
            <w:rFonts w:asciiTheme="majorHAnsi" w:hAnsiTheme="majorHAnsi"/>
            <w:lang w:val="en-US"/>
          </w:rPr>
          <w:t>law</w:t>
        </w:r>
        <w:r w:rsidRPr="00E9003D">
          <w:rPr>
            <w:rStyle w:val="-"/>
            <w:rFonts w:asciiTheme="majorHAnsi" w:hAnsiTheme="majorHAnsi"/>
          </w:rPr>
          <w:t>.</w:t>
        </w:r>
        <w:r w:rsidRPr="0084093A">
          <w:rPr>
            <w:rStyle w:val="-"/>
            <w:rFonts w:asciiTheme="majorHAnsi" w:hAnsiTheme="majorHAnsi"/>
            <w:lang w:val="en-US"/>
          </w:rPr>
          <w:t>econ</w:t>
        </w:r>
        <w:r w:rsidRPr="00E9003D">
          <w:rPr>
            <w:rStyle w:val="-"/>
            <w:rFonts w:asciiTheme="majorHAnsi" w:hAnsiTheme="majorHAnsi"/>
          </w:rPr>
          <w:t>/</w:t>
        </w:r>
      </w:hyperlink>
    </w:p>
    <w:p w:rsidR="00270C00" w:rsidRPr="0084093A" w:rsidRDefault="00270C00" w:rsidP="00FF5B73">
      <w:pPr>
        <w:pStyle w:val="a3"/>
        <w:numPr>
          <w:ilvl w:val="0"/>
          <w:numId w:val="23"/>
        </w:numPr>
        <w:spacing w:after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</w:pPr>
      <w:proofErr w:type="spellStart"/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Youtube</w:t>
      </w:r>
      <w:proofErr w:type="spellEnd"/>
      <w:r w:rsidRPr="0084093A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shd w:val="clear" w:color="auto" w:fill="FFFFFF"/>
          <w:lang w:eastAsia="el-GR"/>
        </w:rPr>
        <w:t>: </w:t>
      </w:r>
      <w:hyperlink r:id="rId16" w:tgtFrame="_blank" w:history="1">
        <w:r w:rsidRPr="0084093A">
          <w:rPr>
            <w:rStyle w:val="-"/>
            <w:rFonts w:asciiTheme="majorHAnsi" w:hAnsiTheme="majorHAnsi"/>
            <w:lang w:val="en-US"/>
          </w:rPr>
          <w:t>www.youtube.com/@ΔίκαιοκαιΟικονομικάΠΑΜΑΚ</w:t>
        </w:r>
      </w:hyperlink>
    </w:p>
    <w:p w:rsidR="00270C00" w:rsidRDefault="00270C00" w:rsidP="00247C63">
      <w:pPr>
        <w:shd w:val="clear" w:color="auto" w:fill="FFFFFF"/>
        <w:spacing w:after="0"/>
        <w:rPr>
          <w:rFonts w:ascii="Cambria" w:eastAsia="Times New Roman" w:hAnsi="Cambria" w:cs="Times New Roman"/>
          <w:color w:val="333333"/>
          <w:sz w:val="24"/>
          <w:szCs w:val="24"/>
          <w:lang w:eastAsia="el-GR"/>
        </w:rPr>
      </w:pPr>
    </w:p>
    <w:p w:rsidR="00247C63" w:rsidRPr="00247C63" w:rsidRDefault="00247C63" w:rsidP="00247C63">
      <w:pPr>
        <w:pBdr>
          <w:top w:val="single" w:sz="12" w:space="1" w:color="244061" w:themeColor="accent1" w:themeShade="80"/>
          <w:left w:val="single" w:sz="12" w:space="4" w:color="244061" w:themeColor="accent1" w:themeShade="80"/>
          <w:bottom w:val="single" w:sz="12" w:space="1" w:color="244061" w:themeColor="accent1" w:themeShade="80"/>
          <w:right w:val="single" w:sz="12" w:space="4" w:color="244061" w:themeColor="accent1" w:themeShade="80"/>
          <w:between w:val="single" w:sz="12" w:space="1" w:color="244061" w:themeColor="accent1" w:themeShade="80"/>
          <w:bar w:val="single" w:sz="12" w:color="244061" w:themeColor="accent1" w:themeShade="80"/>
        </w:pBdr>
        <w:shd w:val="clear" w:color="auto" w:fill="1E5A64"/>
        <w:spacing w:after="161"/>
        <w:rPr>
          <w:rFonts w:ascii="Cambria" w:hAnsi="Cambria" w:cs="Times New Roman"/>
          <w:b/>
          <w:color w:val="FFFFFF" w:themeColor="background1"/>
          <w:sz w:val="28"/>
          <w:szCs w:val="28"/>
        </w:rPr>
      </w:pPr>
      <w:r w:rsidRPr="00247C63">
        <w:rPr>
          <w:rFonts w:ascii="Cambria" w:hAnsi="Cambria" w:cs="Times New Roman"/>
          <w:b/>
          <w:color w:val="FFFFFF" w:themeColor="background1"/>
          <w:sz w:val="28"/>
          <w:szCs w:val="28"/>
        </w:rPr>
        <w:t>Πληροφορίες</w:t>
      </w:r>
    </w:p>
    <w:p w:rsidR="00247C63" w:rsidRPr="00035EE4" w:rsidRDefault="00247C63" w:rsidP="0084093A">
      <w:pPr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eastAsia="el-GR"/>
        </w:rPr>
      </w:pPr>
      <w:r w:rsidRPr="00035EE4"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  <w:lang w:eastAsia="el-GR"/>
        </w:rPr>
        <w:t>ΓΡΑΜΜΑΤΕΙΑ Δ.Π.Μ.Σ.</w:t>
      </w:r>
      <w:r w:rsidR="0084093A" w:rsidRPr="00035EE4"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Pr="00035EE4"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  <w:lang w:eastAsia="el-GR"/>
        </w:rPr>
        <w:t>ΔΙΚΑΙΟ &amp; ΟΙΚΟΝΟΜΙΚΑ</w:t>
      </w:r>
    </w:p>
    <w:p w:rsidR="00247C63" w:rsidRPr="00035EE4" w:rsidRDefault="00B10482" w:rsidP="00247C6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el-GR"/>
        </w:rPr>
      </w:pPr>
      <w:r w:rsidRPr="00035EE4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el-GR"/>
        </w:rPr>
        <w:t xml:space="preserve">Υπεύθυνος Διοικητικής Υποστήριξης: </w:t>
      </w:r>
      <w:r w:rsidR="00247C63" w:rsidRPr="00035EE4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el-GR"/>
        </w:rPr>
        <w:t>Παπαναστασίου Αθανάσιος</w:t>
      </w:r>
    </w:p>
    <w:p w:rsidR="00247C63" w:rsidRPr="00035EE4" w:rsidRDefault="0084093A" w:rsidP="0084093A">
      <w:pPr>
        <w:shd w:val="clear" w:color="auto" w:fill="FFFFFF"/>
        <w:spacing w:after="0" w:line="240" w:lineRule="auto"/>
        <w:rPr>
          <w:rFonts w:asciiTheme="majorHAnsi" w:hAnsiTheme="majorHAnsi"/>
        </w:rPr>
      </w:pPr>
      <w:r w:rsidRPr="00035EE4">
        <w:rPr>
          <w:rFonts w:asciiTheme="majorHAnsi" w:eastAsia="Times New Roman" w:hAnsiTheme="majorHAnsi" w:cs="Arial"/>
          <w:color w:val="000000" w:themeColor="text1"/>
          <w:sz w:val="24"/>
          <w:szCs w:val="24"/>
          <w:lang w:eastAsia="el-GR"/>
        </w:rPr>
        <w:t xml:space="preserve">  </w:t>
      </w:r>
      <w:r w:rsidR="00B10482" w:rsidRPr="00035EE4">
        <w:rPr>
          <w:rFonts w:asciiTheme="majorHAnsi" w:hAnsiTheme="majorHAnsi"/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60F8EB40" wp14:editId="4865E2F9">
            <wp:simplePos x="0" y="0"/>
            <wp:positionH relativeFrom="column">
              <wp:posOffset>3690620</wp:posOffset>
            </wp:positionH>
            <wp:positionV relativeFrom="paragraph">
              <wp:posOffset>175895</wp:posOffset>
            </wp:positionV>
            <wp:extent cx="1642745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6513" y="21412"/>
                <wp:lineTo x="21291" y="21037"/>
                <wp:lineTo x="21291" y="18407"/>
                <wp:lineTo x="14278" y="18407"/>
                <wp:lineTo x="18035" y="16529"/>
                <wp:lineTo x="17784" y="376"/>
                <wp:lineTo x="9769" y="0"/>
                <wp:lineTo x="0" y="0"/>
              </wp:wrapPolygon>
            </wp:wrapThrough>
            <wp:docPr id="4" name="3 - Εικόνα" descr="logo 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Εικόνα" descr="logo le (2)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C63" w:rsidRPr="00035EE4">
        <w:rPr>
          <w:rFonts w:asciiTheme="majorHAnsi" w:hAnsiTheme="majorHAnsi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807D594" wp14:editId="0F9981A2">
            <wp:simplePos x="0" y="0"/>
            <wp:positionH relativeFrom="column">
              <wp:posOffset>-19050</wp:posOffset>
            </wp:positionH>
            <wp:positionV relativeFrom="paragraph">
              <wp:posOffset>206375</wp:posOffset>
            </wp:positionV>
            <wp:extent cx="257175" cy="257175"/>
            <wp:effectExtent l="0" t="0" r="9525" b="9525"/>
            <wp:wrapNone/>
            <wp:docPr id="1032" name="Picture 8" descr="Telephone Generic Flat Gradi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Telephone Generic Flat Gradient ic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C63" w:rsidRPr="00035EE4">
        <w:rPr>
          <w:rFonts w:asciiTheme="majorHAnsi" w:hAnsiTheme="majorHAnsi"/>
          <w:noProof/>
          <w:lang w:eastAsia="el-GR"/>
        </w:rPr>
        <w:t xml:space="preserve">        </w:t>
      </w:r>
    </w:p>
    <w:p w:rsidR="00247C63" w:rsidRPr="00035EE4" w:rsidRDefault="00247C63" w:rsidP="00247C63">
      <w:pPr>
        <w:spacing w:line="360" w:lineRule="auto"/>
        <w:rPr>
          <w:rFonts w:asciiTheme="majorHAnsi" w:hAnsiTheme="majorHAnsi"/>
        </w:rPr>
      </w:pPr>
      <w:r w:rsidRPr="00035EE4">
        <w:rPr>
          <w:rFonts w:asciiTheme="majorHAnsi" w:hAnsiTheme="majorHAnsi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7BEFF64" wp14:editId="05588815">
            <wp:simplePos x="0" y="0"/>
            <wp:positionH relativeFrom="column">
              <wp:posOffset>-19050</wp:posOffset>
            </wp:positionH>
            <wp:positionV relativeFrom="paragraph">
              <wp:posOffset>315595</wp:posOffset>
            </wp:positionV>
            <wp:extent cx="266700" cy="266700"/>
            <wp:effectExtent l="0" t="0" r="0" b="0"/>
            <wp:wrapThrough wrapText="bothSides">
              <wp:wrapPolygon edited="0">
                <wp:start x="1543" y="0"/>
                <wp:lineTo x="0" y="4629"/>
                <wp:lineTo x="0" y="16971"/>
                <wp:lineTo x="1543" y="20057"/>
                <wp:lineTo x="18514" y="20057"/>
                <wp:lineTo x="20057" y="16971"/>
                <wp:lineTo x="20057" y="4629"/>
                <wp:lineTo x="18514" y="0"/>
                <wp:lineTo x="1543" y="0"/>
              </wp:wrapPolygon>
            </wp:wrapThrough>
            <wp:docPr id="1040" name="Picture 16" descr="88,034 Mail Icons, Logos, Symbols - Free in SVG, PNG, GIF | IconSc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 descr="88,034 Mail Icons, Logos, Symbols - Free in SVG, PNG, GIF | IconScou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EE4">
        <w:rPr>
          <w:rFonts w:asciiTheme="majorHAnsi" w:hAnsiTheme="majorHAnsi"/>
        </w:rPr>
        <w:t xml:space="preserve">          </w:t>
      </w:r>
      <w:r w:rsidR="00035EE4">
        <w:rPr>
          <w:rFonts w:asciiTheme="majorHAnsi" w:hAnsiTheme="majorHAnsi"/>
        </w:rPr>
        <w:t xml:space="preserve"> </w:t>
      </w:r>
      <w:r w:rsidRPr="00035EE4">
        <w:rPr>
          <w:rFonts w:asciiTheme="majorHAnsi" w:hAnsiTheme="majorHAnsi"/>
        </w:rPr>
        <w:t xml:space="preserve">2310 891531 </w:t>
      </w:r>
    </w:p>
    <w:p w:rsidR="00247C63" w:rsidRPr="00035EE4" w:rsidRDefault="00247C63" w:rsidP="00247C63">
      <w:pPr>
        <w:spacing w:line="360" w:lineRule="auto"/>
        <w:rPr>
          <w:rFonts w:asciiTheme="majorHAnsi" w:hAnsiTheme="majorHAnsi"/>
        </w:rPr>
      </w:pPr>
      <w:r w:rsidRPr="00035EE4">
        <w:rPr>
          <w:rFonts w:asciiTheme="majorHAnsi" w:hAnsiTheme="majorHAnsi"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30693E8F" wp14:editId="5091BEE0">
            <wp:simplePos x="0" y="0"/>
            <wp:positionH relativeFrom="column">
              <wp:posOffset>-28575</wp:posOffset>
            </wp:positionH>
            <wp:positionV relativeFrom="paragraph">
              <wp:posOffset>338455</wp:posOffset>
            </wp:positionV>
            <wp:extent cx="266700" cy="266700"/>
            <wp:effectExtent l="0" t="0" r="0" b="0"/>
            <wp:wrapNone/>
            <wp:docPr id="1036" name="Picture 12" descr="Globe - Free web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Globe - Free web icon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" w:history="1">
        <w:r w:rsidRPr="00035EE4">
          <w:rPr>
            <w:rStyle w:val="-"/>
            <w:rFonts w:asciiTheme="majorHAnsi" w:hAnsiTheme="majorHAnsi"/>
            <w:lang w:val="en-US"/>
          </w:rPr>
          <w:t>mle</w:t>
        </w:r>
        <w:r w:rsidRPr="00035EE4">
          <w:rPr>
            <w:rStyle w:val="-"/>
            <w:rFonts w:asciiTheme="majorHAnsi" w:hAnsiTheme="majorHAnsi"/>
          </w:rPr>
          <w:t>@</w:t>
        </w:r>
        <w:r w:rsidRPr="00035EE4">
          <w:rPr>
            <w:rStyle w:val="-"/>
            <w:rFonts w:asciiTheme="majorHAnsi" w:hAnsiTheme="majorHAnsi"/>
            <w:lang w:val="en-US"/>
          </w:rPr>
          <w:t>uom</w:t>
        </w:r>
        <w:r w:rsidRPr="00035EE4">
          <w:rPr>
            <w:rStyle w:val="-"/>
            <w:rFonts w:asciiTheme="majorHAnsi" w:hAnsiTheme="majorHAnsi"/>
          </w:rPr>
          <w:t>.</w:t>
        </w:r>
        <w:r w:rsidRPr="00035EE4">
          <w:rPr>
            <w:rStyle w:val="-"/>
            <w:rFonts w:asciiTheme="majorHAnsi" w:hAnsiTheme="majorHAnsi"/>
            <w:lang w:val="en-US"/>
          </w:rPr>
          <w:t>edu</w:t>
        </w:r>
        <w:r w:rsidRPr="00035EE4">
          <w:rPr>
            <w:rStyle w:val="-"/>
            <w:rFonts w:asciiTheme="majorHAnsi" w:hAnsiTheme="majorHAnsi"/>
          </w:rPr>
          <w:t>.</w:t>
        </w:r>
        <w:r w:rsidRPr="00035EE4">
          <w:rPr>
            <w:rStyle w:val="-"/>
            <w:rFonts w:asciiTheme="majorHAnsi" w:hAnsiTheme="majorHAnsi"/>
            <w:lang w:val="en-US"/>
          </w:rPr>
          <w:t>gr</w:t>
        </w:r>
      </w:hyperlink>
    </w:p>
    <w:p w:rsidR="00247C63" w:rsidRPr="00035EE4" w:rsidRDefault="00247C63" w:rsidP="00270C00">
      <w:pPr>
        <w:spacing w:before="200" w:after="0" w:line="36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el-GR"/>
        </w:rPr>
      </w:pPr>
      <w:r w:rsidRPr="00035EE4">
        <w:rPr>
          <w:rFonts w:asciiTheme="majorHAnsi" w:eastAsia="Times New Roman" w:hAnsiTheme="majorHAnsi" w:cs="Times New Roman"/>
          <w:lang w:eastAsia="el-GR"/>
        </w:rPr>
        <w:t xml:space="preserve">          </w:t>
      </w:r>
      <w:r w:rsidR="00035EE4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" w:history="1">
        <w:r w:rsidRPr="00035EE4">
          <w:rPr>
            <w:rStyle w:val="-"/>
            <w:rFonts w:asciiTheme="majorHAnsi" w:eastAsia="Times New Roman" w:hAnsiTheme="majorHAnsi" w:cs="Times New Roman"/>
            <w:lang w:eastAsia="el-GR"/>
          </w:rPr>
          <w:t>https://mle.uom.gr/</w:t>
        </w:r>
      </w:hyperlink>
    </w:p>
    <w:sectPr w:rsidR="00247C63" w:rsidRPr="00035EE4" w:rsidSect="00EE7AFD">
      <w:headerReference w:type="default" r:id="rId23"/>
      <w:footerReference w:type="default" r:id="rId2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26" w:rsidRDefault="00D41F26" w:rsidP="00247C63">
      <w:pPr>
        <w:spacing w:after="0" w:line="240" w:lineRule="auto"/>
      </w:pPr>
      <w:r>
        <w:separator/>
      </w:r>
    </w:p>
  </w:endnote>
  <w:endnote w:type="continuationSeparator" w:id="0">
    <w:p w:rsidR="00D41F26" w:rsidRDefault="00D41F26" w:rsidP="0024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865970"/>
      <w:docPartObj>
        <w:docPartGallery w:val="Page Numbers (Bottom of Page)"/>
        <w:docPartUnique/>
      </w:docPartObj>
    </w:sdtPr>
    <w:sdtEndPr/>
    <w:sdtContent>
      <w:p w:rsidR="00916328" w:rsidRDefault="00916328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3608">
          <w:rPr>
            <w:noProof/>
          </w:rPr>
          <w:t>7</w:t>
        </w:r>
        <w:r>
          <w:fldChar w:fldCharType="end"/>
        </w:r>
        <w:r>
          <w:t>]</w:t>
        </w:r>
      </w:p>
    </w:sdtContent>
  </w:sdt>
  <w:p w:rsidR="00247C63" w:rsidRDefault="00247C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26" w:rsidRDefault="00D41F26" w:rsidP="00247C63">
      <w:pPr>
        <w:spacing w:after="0" w:line="240" w:lineRule="auto"/>
      </w:pPr>
      <w:r>
        <w:separator/>
      </w:r>
    </w:p>
  </w:footnote>
  <w:footnote w:type="continuationSeparator" w:id="0">
    <w:p w:rsidR="00D41F26" w:rsidRDefault="00D41F26" w:rsidP="0024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35" w:rsidRDefault="00780735">
    <w:pPr>
      <w:pStyle w:val="a5"/>
    </w:pPr>
    <w:r w:rsidRPr="00247C63"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anchor distT="0" distB="0" distL="114300" distR="114300" simplePos="0" relativeHeight="251661312" behindDoc="1" locked="0" layoutInCell="1" allowOverlap="1" wp14:anchorId="79471BC9" wp14:editId="3801F32B">
          <wp:simplePos x="0" y="0"/>
          <wp:positionH relativeFrom="column">
            <wp:posOffset>4427220</wp:posOffset>
          </wp:positionH>
          <wp:positionV relativeFrom="paragraph">
            <wp:posOffset>-325755</wp:posOffset>
          </wp:positionV>
          <wp:extent cx="1363980" cy="714375"/>
          <wp:effectExtent l="0" t="0" r="7620" b="9525"/>
          <wp:wrapTopAndBottom/>
          <wp:docPr id="1" name="Εικόνα 1" descr="C:\Users\apapanastasiou\AppData\Local\Packages\Microsoft.Windows.Photos_8wekyb3d8bbwe\TempState\ShareServiceTempFolder\logo le (2) fin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apanastasiou\AppData\Local\Packages\Microsoft.Windows.Photos_8wekyb3d8bbwe\TempState\ShareServiceTempFolder\logo le (2) fin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6F9"/>
    <w:multiLevelType w:val="hybridMultilevel"/>
    <w:tmpl w:val="94DA0A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C260C"/>
    <w:multiLevelType w:val="hybridMultilevel"/>
    <w:tmpl w:val="8DB24D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6A2"/>
    <w:multiLevelType w:val="multilevel"/>
    <w:tmpl w:val="53BA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18C1"/>
    <w:multiLevelType w:val="hybridMultilevel"/>
    <w:tmpl w:val="AA32EF72"/>
    <w:lvl w:ilvl="0" w:tplc="A874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2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6B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A08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8F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46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2E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322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683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BA69C9"/>
    <w:multiLevelType w:val="hybridMultilevel"/>
    <w:tmpl w:val="FDE86E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520C8"/>
    <w:multiLevelType w:val="hybridMultilevel"/>
    <w:tmpl w:val="7D267F8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72222"/>
    <w:multiLevelType w:val="hybridMultilevel"/>
    <w:tmpl w:val="56321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21455"/>
    <w:multiLevelType w:val="hybridMultilevel"/>
    <w:tmpl w:val="615A45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57122"/>
    <w:multiLevelType w:val="hybridMultilevel"/>
    <w:tmpl w:val="E444CB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2C64"/>
    <w:multiLevelType w:val="hybridMultilevel"/>
    <w:tmpl w:val="88E655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A6B29"/>
    <w:multiLevelType w:val="hybridMultilevel"/>
    <w:tmpl w:val="BF7A5DA4"/>
    <w:lvl w:ilvl="0" w:tplc="D4A0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A60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86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CD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C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C5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A3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56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B49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FA3F71"/>
    <w:multiLevelType w:val="hybridMultilevel"/>
    <w:tmpl w:val="312E0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3230"/>
    <w:multiLevelType w:val="hybridMultilevel"/>
    <w:tmpl w:val="3294BAC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B65F58"/>
    <w:multiLevelType w:val="hybridMultilevel"/>
    <w:tmpl w:val="1166C7D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ED24B6"/>
    <w:multiLevelType w:val="hybridMultilevel"/>
    <w:tmpl w:val="20C44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12F1"/>
    <w:multiLevelType w:val="hybridMultilevel"/>
    <w:tmpl w:val="D744C6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6D37FC"/>
    <w:multiLevelType w:val="hybridMultilevel"/>
    <w:tmpl w:val="EC30A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C7A1D"/>
    <w:multiLevelType w:val="hybridMultilevel"/>
    <w:tmpl w:val="D6F4E85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A57290"/>
    <w:multiLevelType w:val="hybridMultilevel"/>
    <w:tmpl w:val="97AC0804"/>
    <w:lvl w:ilvl="0" w:tplc="0408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BF31D1"/>
    <w:multiLevelType w:val="hybridMultilevel"/>
    <w:tmpl w:val="DE18C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05BCC"/>
    <w:multiLevelType w:val="hybridMultilevel"/>
    <w:tmpl w:val="F3C67E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D45FE"/>
    <w:multiLevelType w:val="hybridMultilevel"/>
    <w:tmpl w:val="D812E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5C82"/>
    <w:multiLevelType w:val="hybridMultilevel"/>
    <w:tmpl w:val="6EF66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5"/>
  </w:num>
  <w:num w:numId="6">
    <w:abstractNumId w:val="12"/>
  </w:num>
  <w:num w:numId="7">
    <w:abstractNumId w:val="17"/>
  </w:num>
  <w:num w:numId="8">
    <w:abstractNumId w:val="13"/>
  </w:num>
  <w:num w:numId="9">
    <w:abstractNumId w:val="20"/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3"/>
  </w:num>
  <w:num w:numId="13">
    <w:abstractNumId w:val="10"/>
  </w:num>
  <w:num w:numId="14">
    <w:abstractNumId w:val="21"/>
  </w:num>
  <w:num w:numId="15">
    <w:abstractNumId w:val="14"/>
  </w:num>
  <w:num w:numId="16">
    <w:abstractNumId w:val="6"/>
  </w:num>
  <w:num w:numId="17">
    <w:abstractNumId w:val="16"/>
  </w:num>
  <w:num w:numId="18">
    <w:abstractNumId w:val="9"/>
  </w:num>
  <w:num w:numId="19">
    <w:abstractNumId w:val="11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B3"/>
    <w:rsid w:val="00035EE4"/>
    <w:rsid w:val="00051ECD"/>
    <w:rsid w:val="00075889"/>
    <w:rsid w:val="000B33AF"/>
    <w:rsid w:val="00182A7F"/>
    <w:rsid w:val="001B5359"/>
    <w:rsid w:val="001D2FCE"/>
    <w:rsid w:val="00200DAE"/>
    <w:rsid w:val="00247C63"/>
    <w:rsid w:val="00247E59"/>
    <w:rsid w:val="00262D4E"/>
    <w:rsid w:val="00270C00"/>
    <w:rsid w:val="002772A7"/>
    <w:rsid w:val="0028409D"/>
    <w:rsid w:val="0037745C"/>
    <w:rsid w:val="0039191E"/>
    <w:rsid w:val="003B3E2A"/>
    <w:rsid w:val="003C0289"/>
    <w:rsid w:val="003C534C"/>
    <w:rsid w:val="003D2C68"/>
    <w:rsid w:val="003E1D38"/>
    <w:rsid w:val="004109BB"/>
    <w:rsid w:val="004237CE"/>
    <w:rsid w:val="00433797"/>
    <w:rsid w:val="004624B5"/>
    <w:rsid w:val="005110FE"/>
    <w:rsid w:val="00522827"/>
    <w:rsid w:val="00556AEA"/>
    <w:rsid w:val="005735FA"/>
    <w:rsid w:val="005D2F50"/>
    <w:rsid w:val="006125D3"/>
    <w:rsid w:val="00615780"/>
    <w:rsid w:val="00642096"/>
    <w:rsid w:val="0065553F"/>
    <w:rsid w:val="006575DE"/>
    <w:rsid w:val="00692A16"/>
    <w:rsid w:val="006A7C5A"/>
    <w:rsid w:val="006F3832"/>
    <w:rsid w:val="007169F5"/>
    <w:rsid w:val="00780735"/>
    <w:rsid w:val="007940FA"/>
    <w:rsid w:val="0084093A"/>
    <w:rsid w:val="00892452"/>
    <w:rsid w:val="008A200A"/>
    <w:rsid w:val="008F56DF"/>
    <w:rsid w:val="00916328"/>
    <w:rsid w:val="009523F0"/>
    <w:rsid w:val="009A4332"/>
    <w:rsid w:val="009C3ABA"/>
    <w:rsid w:val="009C46D4"/>
    <w:rsid w:val="009E2C00"/>
    <w:rsid w:val="009E2E97"/>
    <w:rsid w:val="009E3DF1"/>
    <w:rsid w:val="00A555FB"/>
    <w:rsid w:val="00AB7A1E"/>
    <w:rsid w:val="00AE0AB2"/>
    <w:rsid w:val="00AE33E7"/>
    <w:rsid w:val="00B05989"/>
    <w:rsid w:val="00B10482"/>
    <w:rsid w:val="00B25A5A"/>
    <w:rsid w:val="00B65BF2"/>
    <w:rsid w:val="00B75866"/>
    <w:rsid w:val="00BC1D06"/>
    <w:rsid w:val="00C1496B"/>
    <w:rsid w:val="00C6281B"/>
    <w:rsid w:val="00C83C1C"/>
    <w:rsid w:val="00C90DC5"/>
    <w:rsid w:val="00CB7BC7"/>
    <w:rsid w:val="00CD0F94"/>
    <w:rsid w:val="00CE22C8"/>
    <w:rsid w:val="00D2081B"/>
    <w:rsid w:val="00D41F26"/>
    <w:rsid w:val="00D53CCE"/>
    <w:rsid w:val="00DC61C1"/>
    <w:rsid w:val="00E22C03"/>
    <w:rsid w:val="00E23608"/>
    <w:rsid w:val="00E262A7"/>
    <w:rsid w:val="00E32019"/>
    <w:rsid w:val="00E65818"/>
    <w:rsid w:val="00E66252"/>
    <w:rsid w:val="00E9003D"/>
    <w:rsid w:val="00EE082A"/>
    <w:rsid w:val="00EE7AFD"/>
    <w:rsid w:val="00F56964"/>
    <w:rsid w:val="00F607B3"/>
    <w:rsid w:val="00F95983"/>
    <w:rsid w:val="00FC5FB7"/>
    <w:rsid w:val="00FD4E8C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39A26"/>
  <w15:docId w15:val="{6600222E-6B15-4E70-9AF3-D6784B6F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FD"/>
  </w:style>
  <w:style w:type="paragraph" w:styleId="1">
    <w:name w:val="heading 1"/>
    <w:basedOn w:val="a"/>
    <w:link w:val="1Char"/>
    <w:uiPriority w:val="9"/>
    <w:qFormat/>
    <w:rsid w:val="00F6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07B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F607B3"/>
    <w:rPr>
      <w:color w:val="0000FF"/>
      <w:u w:val="single"/>
    </w:rPr>
  </w:style>
  <w:style w:type="character" w:customStyle="1" w:styleId="leave-reply">
    <w:name w:val="leave-reply"/>
    <w:basedOn w:val="a0"/>
    <w:rsid w:val="00F607B3"/>
  </w:style>
  <w:style w:type="paragraph" w:styleId="Web">
    <w:name w:val="Normal (Web)"/>
    <w:basedOn w:val="a"/>
    <w:uiPriority w:val="99"/>
    <w:unhideWhenUsed/>
    <w:rsid w:val="00F6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99"/>
    <w:qFormat/>
    <w:rsid w:val="00F607B3"/>
    <w:pPr>
      <w:ind w:left="720"/>
      <w:contextualSpacing/>
    </w:pPr>
  </w:style>
  <w:style w:type="paragraph" w:styleId="a4">
    <w:name w:val="Body Text"/>
    <w:basedOn w:val="a"/>
    <w:link w:val="Char"/>
    <w:rsid w:val="008924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Char">
    <w:name w:val="Σώμα κειμένου Char"/>
    <w:basedOn w:val="a0"/>
    <w:link w:val="a4"/>
    <w:rsid w:val="00892452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customStyle="1" w:styleId="xl25">
    <w:name w:val="xl25"/>
    <w:basedOn w:val="a"/>
    <w:rsid w:val="006125D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Times New Roman" w:eastAsia="Arial Unicode MS" w:hAnsi="Times New Roman" w:cs="Times"/>
      <w:lang w:eastAsia="ar-SA"/>
    </w:rPr>
  </w:style>
  <w:style w:type="table" w:styleId="2-2">
    <w:name w:val="Medium Shading 2 Accent 2"/>
    <w:basedOn w:val="a1"/>
    <w:uiPriority w:val="64"/>
    <w:rsid w:val="006125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Body Text Indent 2"/>
    <w:basedOn w:val="a"/>
    <w:link w:val="2Char"/>
    <w:uiPriority w:val="99"/>
    <w:rsid w:val="0043379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uiPriority w:val="99"/>
    <w:rsid w:val="00433797"/>
    <w:rPr>
      <w:rFonts w:ascii="Arial" w:eastAsia="Times New Roman" w:hAnsi="Arial" w:cs="Arial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247C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47C63"/>
  </w:style>
  <w:style w:type="paragraph" w:styleId="a6">
    <w:name w:val="footer"/>
    <w:basedOn w:val="a"/>
    <w:link w:val="Char1"/>
    <w:uiPriority w:val="99"/>
    <w:unhideWhenUsed/>
    <w:rsid w:val="00247C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47C63"/>
  </w:style>
  <w:style w:type="character" w:styleId="a7">
    <w:name w:val="Strong"/>
    <w:basedOn w:val="a0"/>
    <w:uiPriority w:val="22"/>
    <w:qFormat/>
    <w:rsid w:val="00CB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profile.php?id=100067537051368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le@uom.edu.g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aecon.uom.gr/programma-spoudon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@%CE%94%CE%AF%CE%BA%CE%B1%CE%B9%CE%BF%CE%BA%CE%B1%CE%B9%CE%9F%CE%B9%CE%BA%CE%BF%CE%BD%CE%BF%CE%BC%CE%B9%CE%BA%CE%AC%CE%A0%CE%91%CE%9C%CE%91%CE%9A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econ.uom.gr/stoxoi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aster_law.econ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www.linkedin.com/posts/%CE%B4%CE%B9%CE%B9%CE%B4%CF%81%CF%85%CE%BC%CE%B1%CF%84%CE%B9%CE%BA%CF%8C-%CF%80%CF%81%CF%8C%CE%B3%CF%81%CE%B1%CE%BC%CE%BC%CE%B1-%CE%BC%CE%B5%CF%84%CE%B1%CF%80%CF%84%CF%85%CF%87%CE%B9%CE%B1%CE%BA%CF%8E%CE%BD-%CF%83%CF%80%CE%BF%CF%85%CE%B4%CF%8E%CE%BD-%CE%B4%CE%AF%CE%BA%CE%B1%CE%B9%CE%BF-%CE%BA%CE%B1%CE%B9-%CE%BF%CE%B9%CE%BA%CE%BF%CE%BD%CE%BF%CE%BC%CE%B9%CE%BA%CE%AC_%CE%B1%CF%81%CF%87%CE%B9%CE%BA%CE%AE-activity-7313473681685385217-GDyC" TargetMode="External"/><Relationship Id="rId22" Type="http://schemas.openxmlformats.org/officeDocument/2006/relationships/hyperlink" Target="https://mle.uom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1843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ΑΘΑΝΑΣΙΟΣ ΠΑΠΑΝΑΣΤΑΣΙΟΥ</cp:lastModifiedBy>
  <cp:revision>10</cp:revision>
  <cp:lastPrinted>2022-04-15T10:04:00Z</cp:lastPrinted>
  <dcterms:created xsi:type="dcterms:W3CDTF">2026-05-22T06:54:00Z</dcterms:created>
  <dcterms:modified xsi:type="dcterms:W3CDTF">2026-05-25T11:33:00Z</dcterms:modified>
</cp:coreProperties>
</file>